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B51" w:rsidRDefault="00920726">
      <w:pPr>
        <w:pStyle w:val="BodyText"/>
        <w:ind w:left="1682"/>
        <w:rPr>
          <w:rFonts w:ascii="Times New Roman"/>
          <w:sz w:val="20"/>
        </w:rPr>
      </w:pPr>
      <w:bookmarkStart w:id="0" w:name="_GoBack"/>
      <w:bookmarkEnd w:id="0"/>
      <w:r>
        <w:rPr>
          <w:rFonts w:ascii="Times New Roman"/>
          <w:noProof/>
          <w:sz w:val="20"/>
          <w:lang w:bidi="ar-SA"/>
        </w:rPr>
        <w:drawing>
          <wp:inline distT="0" distB="0" distL="0" distR="0">
            <wp:extent cx="3762556" cy="77533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762556" cy="775334"/>
                    </a:xfrm>
                    <a:prstGeom prst="rect">
                      <a:avLst/>
                    </a:prstGeom>
                  </pic:spPr>
                </pic:pic>
              </a:graphicData>
            </a:graphic>
          </wp:inline>
        </w:drawing>
      </w:r>
    </w:p>
    <w:p w:rsidR="00452B51" w:rsidRDefault="00452B51">
      <w:pPr>
        <w:pStyle w:val="BodyText"/>
        <w:rPr>
          <w:rFonts w:ascii="Times New Roman"/>
          <w:sz w:val="20"/>
        </w:rPr>
      </w:pPr>
    </w:p>
    <w:p w:rsidR="00452B51" w:rsidRDefault="00452B51">
      <w:pPr>
        <w:pStyle w:val="BodyText"/>
        <w:spacing w:before="7"/>
        <w:rPr>
          <w:rFonts w:ascii="Times New Roman"/>
          <w:sz w:val="21"/>
        </w:rPr>
      </w:pPr>
    </w:p>
    <w:p w:rsidR="00452B51" w:rsidRDefault="00920726">
      <w:pPr>
        <w:pStyle w:val="Heading1"/>
        <w:spacing w:before="90" w:line="360" w:lineRule="auto"/>
        <w:ind w:left="2088" w:right="1826"/>
      </w:pPr>
      <w:r>
        <w:t>Safeguarding Adults Review of “Ian” NYSAB Report – September 2020</w:t>
      </w:r>
    </w:p>
    <w:p w:rsidR="00452B51" w:rsidRDefault="00452B51">
      <w:pPr>
        <w:pStyle w:val="BodyText"/>
        <w:spacing w:before="11"/>
        <w:rPr>
          <w:b/>
          <w:sz w:val="47"/>
        </w:rPr>
      </w:pPr>
    </w:p>
    <w:p w:rsidR="00452B51" w:rsidRDefault="00920726">
      <w:pPr>
        <w:pStyle w:val="Heading2"/>
        <w:numPr>
          <w:ilvl w:val="0"/>
          <w:numId w:val="1"/>
        </w:numPr>
        <w:tabs>
          <w:tab w:val="left" w:pos="819"/>
          <w:tab w:val="left" w:pos="820"/>
        </w:tabs>
      </w:pPr>
      <w:r>
        <w:t>Introduction</w:t>
      </w:r>
    </w:p>
    <w:p w:rsidR="00452B51" w:rsidRDefault="00920726">
      <w:pPr>
        <w:pStyle w:val="ListParagraph"/>
        <w:numPr>
          <w:ilvl w:val="1"/>
          <w:numId w:val="1"/>
        </w:numPr>
        <w:tabs>
          <w:tab w:val="left" w:pos="819"/>
          <w:tab w:val="left" w:pos="820"/>
        </w:tabs>
        <w:spacing w:before="135"/>
        <w:ind w:right="288"/>
        <w:rPr>
          <w:sz w:val="24"/>
        </w:rPr>
      </w:pPr>
      <w:r>
        <w:rPr>
          <w:sz w:val="24"/>
        </w:rPr>
        <w:t>The purpose of this report is to present to the North Yorkshire Safeguarding Adults Board, an update on the actions in relation to the Safeguarding Adults Review of</w:t>
      </w:r>
      <w:r>
        <w:rPr>
          <w:spacing w:val="-1"/>
          <w:sz w:val="24"/>
        </w:rPr>
        <w:t xml:space="preserve"> </w:t>
      </w:r>
      <w:r>
        <w:rPr>
          <w:sz w:val="24"/>
        </w:rPr>
        <w:t>‘Ian’.</w:t>
      </w:r>
    </w:p>
    <w:p w:rsidR="00452B51" w:rsidRDefault="00452B51">
      <w:pPr>
        <w:pStyle w:val="BodyText"/>
        <w:rPr>
          <w:sz w:val="26"/>
        </w:rPr>
      </w:pPr>
    </w:p>
    <w:p w:rsidR="00452B51" w:rsidRDefault="00920726">
      <w:pPr>
        <w:pStyle w:val="Heading2"/>
        <w:numPr>
          <w:ilvl w:val="0"/>
          <w:numId w:val="1"/>
        </w:numPr>
        <w:tabs>
          <w:tab w:val="left" w:pos="819"/>
          <w:tab w:val="left" w:pos="820"/>
        </w:tabs>
        <w:spacing w:before="162"/>
      </w:pPr>
      <w:r>
        <w:t>Background</w:t>
      </w:r>
    </w:p>
    <w:p w:rsidR="00452B51" w:rsidRDefault="00920726">
      <w:pPr>
        <w:pStyle w:val="ListParagraph"/>
        <w:numPr>
          <w:ilvl w:val="1"/>
          <w:numId w:val="1"/>
        </w:numPr>
        <w:tabs>
          <w:tab w:val="left" w:pos="819"/>
          <w:tab w:val="left" w:pos="820"/>
        </w:tabs>
        <w:spacing w:before="179" w:line="259" w:lineRule="auto"/>
        <w:ind w:right="290"/>
        <w:rPr>
          <w:sz w:val="24"/>
        </w:rPr>
      </w:pPr>
      <w:r>
        <w:rPr>
          <w:sz w:val="24"/>
        </w:rPr>
        <w:t xml:space="preserve">Ian was a 47-year-old gentleman who had a diagnosis of Schizophrenia (Unspecified) and a history of involvement with mental health services dating back to 1995. In June 2014, Ian became homeless and deterioration in his mental health, with an </w:t>
      </w:r>
      <w:r>
        <w:rPr>
          <w:sz w:val="24"/>
        </w:rPr>
        <w:t>associated risk of suicidal thoughts, led to an admission into hospital. He was receiving care and support under the ‘Care Programme Approach’ (CPA) and went on to live in supported accommodation under the provisions of Section 117 aftercare. On 12</w:t>
      </w:r>
      <w:r>
        <w:rPr>
          <w:position w:val="8"/>
          <w:sz w:val="16"/>
        </w:rPr>
        <w:t xml:space="preserve">th </w:t>
      </w:r>
      <w:r>
        <w:rPr>
          <w:sz w:val="24"/>
        </w:rPr>
        <w:t>April</w:t>
      </w:r>
      <w:r>
        <w:rPr>
          <w:sz w:val="24"/>
        </w:rPr>
        <w:t xml:space="preserve"> 2017, ‘Ian’ was found dead at his flat in Harrogate after taking his own</w:t>
      </w:r>
      <w:r>
        <w:rPr>
          <w:spacing w:val="-18"/>
          <w:sz w:val="24"/>
        </w:rPr>
        <w:t xml:space="preserve"> </w:t>
      </w:r>
      <w:r>
        <w:rPr>
          <w:sz w:val="24"/>
        </w:rPr>
        <w:t>life.</w:t>
      </w:r>
    </w:p>
    <w:p w:rsidR="00452B51" w:rsidRDefault="00452B51">
      <w:pPr>
        <w:pStyle w:val="BodyText"/>
        <w:spacing w:before="5"/>
        <w:rPr>
          <w:sz w:val="37"/>
        </w:rPr>
      </w:pPr>
    </w:p>
    <w:p w:rsidR="00452B51" w:rsidRDefault="00920726">
      <w:pPr>
        <w:pStyle w:val="Heading2"/>
        <w:numPr>
          <w:ilvl w:val="0"/>
          <w:numId w:val="1"/>
        </w:numPr>
        <w:tabs>
          <w:tab w:val="left" w:pos="819"/>
          <w:tab w:val="left" w:pos="820"/>
        </w:tabs>
        <w:spacing w:before="1"/>
      </w:pPr>
      <w:r>
        <w:t>Overview</w:t>
      </w:r>
    </w:p>
    <w:p w:rsidR="00452B51" w:rsidRDefault="00452B51">
      <w:pPr>
        <w:pStyle w:val="BodyText"/>
        <w:spacing w:before="10"/>
        <w:rPr>
          <w:b/>
          <w:sz w:val="23"/>
        </w:rPr>
      </w:pPr>
    </w:p>
    <w:p w:rsidR="00452B51" w:rsidRDefault="00920726">
      <w:pPr>
        <w:pStyle w:val="ListParagraph"/>
        <w:numPr>
          <w:ilvl w:val="1"/>
          <w:numId w:val="1"/>
        </w:numPr>
        <w:tabs>
          <w:tab w:val="left" w:pos="819"/>
          <w:tab w:val="left" w:pos="820"/>
        </w:tabs>
        <w:ind w:right="530"/>
        <w:rPr>
          <w:sz w:val="24"/>
        </w:rPr>
      </w:pPr>
      <w:r>
        <w:rPr>
          <w:sz w:val="24"/>
        </w:rPr>
        <w:t xml:space="preserve">In January 2020, the North Yorkshire Safeguarding Adults Board (NYSAB) published a Safeguarding Adults Review which looks at the actions of the agencies involved in </w:t>
      </w:r>
      <w:r>
        <w:rPr>
          <w:sz w:val="24"/>
        </w:rPr>
        <w:t>supporting ‘Ian’. The review looked specifically at the multi-agency response to Ian’s needs in the period prior to his death.</w:t>
      </w:r>
      <w:r>
        <w:rPr>
          <w:spacing w:val="-31"/>
          <w:sz w:val="24"/>
        </w:rPr>
        <w:t xml:space="preserve"> </w:t>
      </w:r>
      <w:r>
        <w:rPr>
          <w:sz w:val="24"/>
        </w:rPr>
        <w:t>We</w:t>
      </w:r>
    </w:p>
    <w:p w:rsidR="00452B51" w:rsidRDefault="00920726">
      <w:pPr>
        <w:pStyle w:val="BodyText"/>
        <w:ind w:left="820" w:right="606"/>
      </w:pPr>
      <w:r>
        <w:t>thank Ian’s family for their help with this review during this difficult time for them.</w:t>
      </w:r>
    </w:p>
    <w:p w:rsidR="00452B51" w:rsidRDefault="00452B51">
      <w:pPr>
        <w:pStyle w:val="BodyText"/>
        <w:spacing w:before="5"/>
        <w:rPr>
          <w:sz w:val="25"/>
        </w:rPr>
      </w:pPr>
    </w:p>
    <w:p w:rsidR="00452B51" w:rsidRDefault="00920726">
      <w:pPr>
        <w:pStyle w:val="ListParagraph"/>
        <w:numPr>
          <w:ilvl w:val="1"/>
          <w:numId w:val="1"/>
        </w:numPr>
        <w:tabs>
          <w:tab w:val="left" w:pos="819"/>
          <w:tab w:val="left" w:pos="820"/>
        </w:tabs>
        <w:ind w:right="262"/>
        <w:rPr>
          <w:sz w:val="24"/>
        </w:rPr>
      </w:pPr>
      <w:r>
        <w:rPr>
          <w:sz w:val="24"/>
        </w:rPr>
        <w:t>The report made seven recommendations to the individual agencies involved and the SAB as a whole, all of which are accepted by the SAB in full. Since the report was published, the individual agencies involved in this review have been undertaking the work r</w:t>
      </w:r>
      <w:r>
        <w:rPr>
          <w:sz w:val="24"/>
        </w:rPr>
        <w:t>equired as a result of the recommendations to ensure that lessons are learned from the sad death of Ian and that practice and process is improved across all agencies to ensure that those experiencing a mental health crisis in North Yorkshire are provided w</w:t>
      </w:r>
      <w:r>
        <w:rPr>
          <w:sz w:val="24"/>
        </w:rPr>
        <w:t>ith the support that they need. Progress on these actions has been monitored throughout by</w:t>
      </w:r>
      <w:r>
        <w:rPr>
          <w:spacing w:val="-1"/>
          <w:sz w:val="24"/>
        </w:rPr>
        <w:t xml:space="preserve"> </w:t>
      </w:r>
      <w:r>
        <w:rPr>
          <w:sz w:val="24"/>
        </w:rPr>
        <w:t>NYSAB.</w:t>
      </w:r>
    </w:p>
    <w:p w:rsidR="00452B51" w:rsidRDefault="00452B51">
      <w:pPr>
        <w:rPr>
          <w:sz w:val="24"/>
        </w:rPr>
        <w:sectPr w:rsidR="00452B51">
          <w:headerReference w:type="even" r:id="rId8"/>
          <w:headerReference w:type="default" r:id="rId9"/>
          <w:footerReference w:type="even" r:id="rId10"/>
          <w:footerReference w:type="default" r:id="rId11"/>
          <w:headerReference w:type="first" r:id="rId12"/>
          <w:footerReference w:type="first" r:id="rId13"/>
          <w:type w:val="continuous"/>
          <w:pgSz w:w="11910" w:h="16840"/>
          <w:pgMar w:top="1420" w:right="1320" w:bottom="1240" w:left="1340" w:header="720" w:footer="1046" w:gutter="0"/>
          <w:pgNumType w:start="1"/>
          <w:cols w:space="720"/>
        </w:sectPr>
      </w:pPr>
    </w:p>
    <w:p w:rsidR="00452B51" w:rsidRDefault="00920726">
      <w:pPr>
        <w:pStyle w:val="ListParagraph"/>
        <w:numPr>
          <w:ilvl w:val="1"/>
          <w:numId w:val="1"/>
        </w:numPr>
        <w:tabs>
          <w:tab w:val="left" w:pos="819"/>
          <w:tab w:val="left" w:pos="820"/>
        </w:tabs>
        <w:spacing w:before="79"/>
        <w:ind w:right="144"/>
        <w:rPr>
          <w:sz w:val="24"/>
        </w:rPr>
      </w:pPr>
      <w:r>
        <w:rPr>
          <w:sz w:val="24"/>
        </w:rPr>
        <w:lastRenderedPageBreak/>
        <w:t>Nine months after publication, this position statement sets out where</w:t>
      </w:r>
      <w:r>
        <w:rPr>
          <w:spacing w:val="-11"/>
          <w:sz w:val="24"/>
        </w:rPr>
        <w:t xml:space="preserve"> </w:t>
      </w:r>
      <w:r>
        <w:rPr>
          <w:sz w:val="24"/>
        </w:rPr>
        <w:t>agencies currently are with each of the recommendations, together with any further work that is required and timescales for any work not</w:t>
      </w:r>
      <w:r>
        <w:rPr>
          <w:spacing w:val="-4"/>
          <w:sz w:val="24"/>
        </w:rPr>
        <w:t xml:space="preserve"> </w:t>
      </w:r>
      <w:r>
        <w:rPr>
          <w:sz w:val="24"/>
        </w:rPr>
        <w:t>completed.</w:t>
      </w:r>
    </w:p>
    <w:p w:rsidR="00452B51" w:rsidRDefault="00452B51">
      <w:pPr>
        <w:pStyle w:val="BodyText"/>
        <w:rPr>
          <w:sz w:val="26"/>
        </w:rPr>
      </w:pPr>
    </w:p>
    <w:p w:rsidR="00452B51" w:rsidRDefault="00452B51">
      <w:pPr>
        <w:pStyle w:val="BodyText"/>
        <w:spacing w:before="6"/>
        <w:rPr>
          <w:sz w:val="22"/>
        </w:rPr>
      </w:pPr>
    </w:p>
    <w:p w:rsidR="00452B51" w:rsidRDefault="00920726">
      <w:pPr>
        <w:pStyle w:val="Heading2"/>
        <w:numPr>
          <w:ilvl w:val="0"/>
          <w:numId w:val="1"/>
        </w:numPr>
        <w:tabs>
          <w:tab w:val="left" w:pos="819"/>
          <w:tab w:val="left" w:pos="820"/>
        </w:tabs>
        <w:spacing w:line="484" w:lineRule="auto"/>
        <w:ind w:right="3571"/>
      </w:pPr>
      <w:r>
        <w:t>Current Position on each recommendation</w:t>
      </w:r>
      <w:r>
        <w:rPr>
          <w:u w:val="thick"/>
        </w:rPr>
        <w:t xml:space="preserve"> Recommendation</w:t>
      </w:r>
      <w:r>
        <w:rPr>
          <w:spacing w:val="-1"/>
          <w:u w:val="thick"/>
        </w:rPr>
        <w:t xml:space="preserve"> </w:t>
      </w:r>
      <w:r>
        <w:rPr>
          <w:u w:val="thick"/>
        </w:rPr>
        <w:t>1:</w:t>
      </w:r>
    </w:p>
    <w:p w:rsidR="00452B51" w:rsidRDefault="00920726">
      <w:pPr>
        <w:ind w:left="820" w:right="159"/>
        <w:jc w:val="both"/>
        <w:rPr>
          <w:b/>
          <w:sz w:val="24"/>
        </w:rPr>
      </w:pPr>
      <w:r>
        <w:rPr>
          <w:b/>
          <w:sz w:val="24"/>
        </w:rPr>
        <w:t>The North Yorkshire Safeguarding Adults Board to seek assurances that all agencies recognise that deterioration in an individual’s mental health does not always manifest itself with a crisis episode</w:t>
      </w:r>
      <w:r>
        <w:rPr>
          <w:b/>
          <w:sz w:val="24"/>
        </w:rPr>
        <w:t>.</w:t>
      </w:r>
    </w:p>
    <w:p w:rsidR="00452B51" w:rsidRDefault="00452B51">
      <w:pPr>
        <w:pStyle w:val="BodyText"/>
        <w:rPr>
          <w:b/>
          <w:sz w:val="26"/>
        </w:rPr>
      </w:pPr>
    </w:p>
    <w:p w:rsidR="00452B51" w:rsidRDefault="00452B51">
      <w:pPr>
        <w:pStyle w:val="BodyText"/>
        <w:spacing w:before="7"/>
        <w:rPr>
          <w:b/>
          <w:sz w:val="21"/>
        </w:rPr>
      </w:pPr>
    </w:p>
    <w:p w:rsidR="00452B51" w:rsidRDefault="00920726">
      <w:pPr>
        <w:pStyle w:val="BodyText"/>
        <w:spacing w:before="1"/>
        <w:ind w:left="820" w:right="118"/>
        <w:jc w:val="both"/>
      </w:pPr>
      <w:r>
        <w:t>The learning from this SAR has been captured in a 7-minute briefing which</w:t>
      </w:r>
      <w:r>
        <w:rPr>
          <w:spacing w:val="-29"/>
        </w:rPr>
        <w:t xml:space="preserve"> </w:t>
      </w:r>
      <w:r>
        <w:t>will be distributed to all staff teams across partner agencies, and published on the SAB website, as well as being included in the NYCC Safeguarding Newsletter for wider</w:t>
      </w:r>
      <w:r>
        <w:rPr>
          <w:spacing w:val="-1"/>
        </w:rPr>
        <w:t xml:space="preserve"> </w:t>
      </w:r>
      <w:r>
        <w:t>distribu</w:t>
      </w:r>
      <w:r>
        <w:t>tion.</w:t>
      </w:r>
    </w:p>
    <w:p w:rsidR="00452B51" w:rsidRDefault="00452B51">
      <w:pPr>
        <w:pStyle w:val="BodyText"/>
        <w:spacing w:before="4"/>
      </w:pPr>
    </w:p>
    <w:p w:rsidR="00452B51" w:rsidRDefault="00920726">
      <w:pPr>
        <w:pStyle w:val="Heading2"/>
        <w:jc w:val="both"/>
      </w:pPr>
      <w:r>
        <w:rPr>
          <w:u w:val="thick"/>
        </w:rPr>
        <w:t>Recommendation 2:</w:t>
      </w:r>
    </w:p>
    <w:p w:rsidR="00452B51" w:rsidRDefault="00452B51">
      <w:pPr>
        <w:pStyle w:val="BodyText"/>
        <w:spacing w:before="4"/>
        <w:rPr>
          <w:b/>
          <w:sz w:val="16"/>
        </w:rPr>
      </w:pPr>
    </w:p>
    <w:p w:rsidR="00452B51" w:rsidRDefault="00920726">
      <w:pPr>
        <w:spacing w:before="92"/>
        <w:ind w:left="820" w:right="288"/>
        <w:rPr>
          <w:b/>
          <w:sz w:val="24"/>
        </w:rPr>
      </w:pPr>
      <w:r>
        <w:rPr>
          <w:b/>
          <w:sz w:val="24"/>
        </w:rPr>
        <w:t>The statutory safeguarding partners within North Yorkshire to consider the feasibility of a joined-up IT system to ensure accurate and timely exchange of information which will protect vulnerable people and is readily available to</w:t>
      </w:r>
      <w:r>
        <w:rPr>
          <w:b/>
          <w:sz w:val="24"/>
        </w:rPr>
        <w:t xml:space="preserve"> all front line practitioners who require access.</w:t>
      </w:r>
    </w:p>
    <w:p w:rsidR="00452B51" w:rsidRDefault="00452B51">
      <w:pPr>
        <w:pStyle w:val="BodyText"/>
        <w:spacing w:before="4"/>
        <w:rPr>
          <w:b/>
        </w:rPr>
      </w:pPr>
    </w:p>
    <w:p w:rsidR="00452B51" w:rsidRDefault="00920726">
      <w:pPr>
        <w:pStyle w:val="BodyText"/>
        <w:ind w:left="820" w:right="117"/>
        <w:jc w:val="both"/>
      </w:pPr>
      <w:r>
        <w:t>Work is currently ongoing to enable NYCC Mental Health to have access to Tees Esk and Wear Valley Trust and Bradford Trust recording systems and vice versa to enable shared access, which will allow for a q</w:t>
      </w:r>
      <w:r>
        <w:t>uicker exchange of information when required. NYCC now have access to Paris and work is being finalised to ensure that TEWV have access to the NYCC system. The importance of information sharing is also included in the 7-minute briefing. Other</w:t>
      </w:r>
      <w:r>
        <w:rPr>
          <w:spacing w:val="-8"/>
        </w:rPr>
        <w:t xml:space="preserve"> </w:t>
      </w:r>
      <w:r>
        <w:t>options</w:t>
      </w:r>
      <w:r>
        <w:rPr>
          <w:spacing w:val="-8"/>
        </w:rPr>
        <w:t xml:space="preserve"> </w:t>
      </w:r>
      <w:r>
        <w:t>for</w:t>
      </w:r>
      <w:r>
        <w:rPr>
          <w:spacing w:val="-8"/>
        </w:rPr>
        <w:t xml:space="preserve"> </w:t>
      </w:r>
      <w:r>
        <w:t>i</w:t>
      </w:r>
      <w:r>
        <w:t>nformation</w:t>
      </w:r>
      <w:r>
        <w:rPr>
          <w:spacing w:val="-8"/>
        </w:rPr>
        <w:t xml:space="preserve"> </w:t>
      </w:r>
      <w:r>
        <w:t>sharing</w:t>
      </w:r>
      <w:r>
        <w:rPr>
          <w:spacing w:val="-8"/>
        </w:rPr>
        <w:t xml:space="preserve"> </w:t>
      </w:r>
      <w:r>
        <w:t>have</w:t>
      </w:r>
      <w:r>
        <w:rPr>
          <w:spacing w:val="-8"/>
        </w:rPr>
        <w:t xml:space="preserve"> </w:t>
      </w:r>
      <w:r>
        <w:t>been</w:t>
      </w:r>
      <w:r>
        <w:rPr>
          <w:spacing w:val="-8"/>
        </w:rPr>
        <w:t xml:space="preserve"> </w:t>
      </w:r>
      <w:r>
        <w:t>considered</w:t>
      </w:r>
      <w:r>
        <w:rPr>
          <w:spacing w:val="-8"/>
        </w:rPr>
        <w:t xml:space="preserve"> </w:t>
      </w:r>
      <w:r>
        <w:t>throughout</w:t>
      </w:r>
      <w:r>
        <w:rPr>
          <w:spacing w:val="-6"/>
        </w:rPr>
        <w:t xml:space="preserve"> </w:t>
      </w:r>
      <w:r>
        <w:t>partner agencies.</w:t>
      </w:r>
    </w:p>
    <w:p w:rsidR="00452B51" w:rsidRDefault="00452B51">
      <w:pPr>
        <w:pStyle w:val="BodyText"/>
        <w:spacing w:before="5"/>
      </w:pPr>
    </w:p>
    <w:p w:rsidR="00452B51" w:rsidRDefault="00920726">
      <w:pPr>
        <w:pStyle w:val="Heading2"/>
      </w:pPr>
      <w:r>
        <w:rPr>
          <w:u w:val="thick"/>
        </w:rPr>
        <w:t>Recommendation 3:</w:t>
      </w:r>
    </w:p>
    <w:p w:rsidR="00452B51" w:rsidRDefault="00452B51">
      <w:pPr>
        <w:pStyle w:val="BodyText"/>
        <w:spacing w:before="4"/>
        <w:rPr>
          <w:b/>
          <w:sz w:val="16"/>
        </w:rPr>
      </w:pPr>
    </w:p>
    <w:p w:rsidR="00452B51" w:rsidRDefault="00920726">
      <w:pPr>
        <w:spacing w:before="92"/>
        <w:ind w:left="820" w:right="118"/>
        <w:jc w:val="both"/>
        <w:rPr>
          <w:b/>
          <w:sz w:val="24"/>
        </w:rPr>
      </w:pPr>
      <w:r>
        <w:rPr>
          <w:b/>
          <w:sz w:val="24"/>
        </w:rPr>
        <w:t>The North Yorkshire Safeguarding Adults Board to ensure measures are in place for those organisations with responsibility for Care Programme Approach (CPA) planning, t</w:t>
      </w:r>
      <w:r>
        <w:rPr>
          <w:b/>
          <w:sz w:val="24"/>
        </w:rPr>
        <w:t>o have systems for dip sampling of case files and</w:t>
      </w:r>
      <w:r>
        <w:rPr>
          <w:b/>
          <w:spacing w:val="-10"/>
          <w:sz w:val="24"/>
        </w:rPr>
        <w:t xml:space="preserve"> </w:t>
      </w:r>
      <w:r>
        <w:rPr>
          <w:b/>
          <w:sz w:val="24"/>
        </w:rPr>
        <w:t>caseloads</w:t>
      </w:r>
      <w:r>
        <w:rPr>
          <w:b/>
          <w:spacing w:val="-9"/>
          <w:sz w:val="24"/>
        </w:rPr>
        <w:t xml:space="preserve"> </w:t>
      </w:r>
      <w:r>
        <w:rPr>
          <w:b/>
          <w:sz w:val="24"/>
        </w:rPr>
        <w:t>by</w:t>
      </w:r>
      <w:r>
        <w:rPr>
          <w:b/>
          <w:spacing w:val="-11"/>
          <w:sz w:val="24"/>
        </w:rPr>
        <w:t xml:space="preserve"> </w:t>
      </w:r>
      <w:r>
        <w:rPr>
          <w:b/>
          <w:sz w:val="24"/>
        </w:rPr>
        <w:t>team</w:t>
      </w:r>
      <w:r>
        <w:rPr>
          <w:b/>
          <w:spacing w:val="-9"/>
          <w:sz w:val="24"/>
        </w:rPr>
        <w:t xml:space="preserve"> </w:t>
      </w:r>
      <w:r>
        <w:rPr>
          <w:b/>
          <w:sz w:val="24"/>
        </w:rPr>
        <w:t>managers.</w:t>
      </w:r>
      <w:r>
        <w:rPr>
          <w:b/>
          <w:spacing w:val="-9"/>
          <w:sz w:val="24"/>
        </w:rPr>
        <w:t xml:space="preserve"> </w:t>
      </w:r>
      <w:r>
        <w:rPr>
          <w:b/>
          <w:sz w:val="24"/>
        </w:rPr>
        <w:t>This</w:t>
      </w:r>
      <w:r>
        <w:rPr>
          <w:b/>
          <w:spacing w:val="-9"/>
          <w:sz w:val="24"/>
        </w:rPr>
        <w:t xml:space="preserve"> </w:t>
      </w:r>
      <w:r>
        <w:rPr>
          <w:b/>
          <w:sz w:val="24"/>
        </w:rPr>
        <w:t>to</w:t>
      </w:r>
      <w:r>
        <w:rPr>
          <w:b/>
          <w:spacing w:val="-10"/>
          <w:sz w:val="24"/>
        </w:rPr>
        <w:t xml:space="preserve"> </w:t>
      </w:r>
      <w:r>
        <w:rPr>
          <w:b/>
          <w:sz w:val="24"/>
        </w:rPr>
        <w:t>include</w:t>
      </w:r>
      <w:r>
        <w:rPr>
          <w:b/>
          <w:spacing w:val="-9"/>
          <w:sz w:val="24"/>
        </w:rPr>
        <w:t xml:space="preserve"> </w:t>
      </w:r>
      <w:r>
        <w:rPr>
          <w:b/>
          <w:sz w:val="24"/>
        </w:rPr>
        <w:t>a</w:t>
      </w:r>
      <w:r>
        <w:rPr>
          <w:b/>
          <w:spacing w:val="-9"/>
          <w:sz w:val="24"/>
        </w:rPr>
        <w:t xml:space="preserve"> </w:t>
      </w:r>
      <w:r>
        <w:rPr>
          <w:b/>
          <w:sz w:val="24"/>
        </w:rPr>
        <w:t>‘deep</w:t>
      </w:r>
      <w:r>
        <w:rPr>
          <w:b/>
          <w:spacing w:val="-10"/>
          <w:sz w:val="24"/>
        </w:rPr>
        <w:t xml:space="preserve"> </w:t>
      </w:r>
      <w:r>
        <w:rPr>
          <w:b/>
          <w:sz w:val="24"/>
        </w:rPr>
        <w:t>dive’</w:t>
      </w:r>
      <w:r>
        <w:rPr>
          <w:b/>
          <w:spacing w:val="-9"/>
          <w:sz w:val="24"/>
        </w:rPr>
        <w:t xml:space="preserve"> </w:t>
      </w:r>
      <w:r>
        <w:rPr>
          <w:b/>
          <w:sz w:val="24"/>
        </w:rPr>
        <w:t>of</w:t>
      </w:r>
      <w:r>
        <w:rPr>
          <w:b/>
          <w:spacing w:val="-9"/>
          <w:sz w:val="24"/>
        </w:rPr>
        <w:t xml:space="preserve"> </w:t>
      </w:r>
      <w:r>
        <w:rPr>
          <w:b/>
          <w:sz w:val="24"/>
        </w:rPr>
        <w:t>content when necessary and in particular to scrutinise the review processes for identification and management of risk. Operational responsibility will remain with the relevant organisation, but the NYSAB to arrange</w:t>
      </w:r>
      <w:r>
        <w:rPr>
          <w:b/>
          <w:spacing w:val="-36"/>
          <w:sz w:val="24"/>
        </w:rPr>
        <w:t xml:space="preserve"> </w:t>
      </w:r>
      <w:r>
        <w:rPr>
          <w:b/>
          <w:sz w:val="24"/>
        </w:rPr>
        <w:t>periodic multi-agency audits be carried</w:t>
      </w:r>
      <w:r>
        <w:rPr>
          <w:b/>
          <w:spacing w:val="-4"/>
          <w:sz w:val="24"/>
        </w:rPr>
        <w:t xml:space="preserve"> </w:t>
      </w:r>
      <w:r>
        <w:rPr>
          <w:b/>
          <w:sz w:val="24"/>
        </w:rPr>
        <w:t>o</w:t>
      </w:r>
      <w:r>
        <w:rPr>
          <w:b/>
          <w:sz w:val="24"/>
        </w:rPr>
        <w:t>ut.</w:t>
      </w:r>
    </w:p>
    <w:p w:rsidR="00452B51" w:rsidRDefault="00452B51">
      <w:pPr>
        <w:pStyle w:val="BodyText"/>
        <w:spacing w:before="3"/>
        <w:rPr>
          <w:b/>
        </w:rPr>
      </w:pPr>
    </w:p>
    <w:p w:rsidR="00452B51" w:rsidRDefault="00920726">
      <w:pPr>
        <w:pStyle w:val="BodyText"/>
        <w:ind w:left="820" w:right="119"/>
        <w:jc w:val="both"/>
      </w:pPr>
      <w:r>
        <w:t>There</w:t>
      </w:r>
      <w:r>
        <w:rPr>
          <w:spacing w:val="-9"/>
        </w:rPr>
        <w:t xml:space="preserve"> </w:t>
      </w:r>
      <w:r>
        <w:t>was</w:t>
      </w:r>
      <w:r>
        <w:rPr>
          <w:spacing w:val="-9"/>
        </w:rPr>
        <w:t xml:space="preserve"> </w:t>
      </w:r>
      <w:r>
        <w:t>a</w:t>
      </w:r>
      <w:r>
        <w:rPr>
          <w:spacing w:val="-10"/>
        </w:rPr>
        <w:t xml:space="preserve"> </w:t>
      </w:r>
      <w:r>
        <w:t>full</w:t>
      </w:r>
      <w:r>
        <w:rPr>
          <w:spacing w:val="-10"/>
        </w:rPr>
        <w:t xml:space="preserve"> </w:t>
      </w:r>
      <w:r>
        <w:t>CPA</w:t>
      </w:r>
      <w:r>
        <w:rPr>
          <w:spacing w:val="-10"/>
        </w:rPr>
        <w:t xml:space="preserve"> </w:t>
      </w:r>
      <w:r>
        <w:t>audit</w:t>
      </w:r>
      <w:r>
        <w:rPr>
          <w:spacing w:val="-9"/>
        </w:rPr>
        <w:t xml:space="preserve"> </w:t>
      </w:r>
      <w:r>
        <w:t>report</w:t>
      </w:r>
      <w:r>
        <w:rPr>
          <w:spacing w:val="-9"/>
        </w:rPr>
        <w:t xml:space="preserve"> </w:t>
      </w:r>
      <w:r>
        <w:t>produced</w:t>
      </w:r>
      <w:r>
        <w:rPr>
          <w:spacing w:val="-10"/>
        </w:rPr>
        <w:t xml:space="preserve"> </w:t>
      </w:r>
      <w:r>
        <w:t>BY</w:t>
      </w:r>
      <w:r>
        <w:rPr>
          <w:spacing w:val="-10"/>
        </w:rPr>
        <w:t xml:space="preserve"> </w:t>
      </w:r>
      <w:r>
        <w:t>TEWV</w:t>
      </w:r>
      <w:r>
        <w:rPr>
          <w:spacing w:val="-10"/>
        </w:rPr>
        <w:t xml:space="preserve"> </w:t>
      </w:r>
      <w:r>
        <w:t>in</w:t>
      </w:r>
      <w:r>
        <w:rPr>
          <w:spacing w:val="-10"/>
        </w:rPr>
        <w:t xml:space="preserve"> </w:t>
      </w:r>
      <w:r>
        <w:t>August</w:t>
      </w:r>
      <w:r>
        <w:rPr>
          <w:spacing w:val="-9"/>
        </w:rPr>
        <w:t xml:space="preserve"> </w:t>
      </w:r>
      <w:r>
        <w:t>2018</w:t>
      </w:r>
      <w:r>
        <w:rPr>
          <w:spacing w:val="-10"/>
        </w:rPr>
        <w:t xml:space="preserve"> </w:t>
      </w:r>
      <w:r>
        <w:t>following an in-depth audit of all specialisms and localities. There is another CPA audit that is currently ongoing, and it is using the same sample (minus those that have</w:t>
      </w:r>
      <w:r>
        <w:rPr>
          <w:spacing w:val="7"/>
        </w:rPr>
        <w:t xml:space="preserve"> </w:t>
      </w:r>
      <w:r>
        <w:t>been</w:t>
      </w:r>
      <w:r>
        <w:rPr>
          <w:spacing w:val="7"/>
        </w:rPr>
        <w:t xml:space="preserve"> </w:t>
      </w:r>
      <w:r>
        <w:t>discharged</w:t>
      </w:r>
      <w:r>
        <w:rPr>
          <w:spacing w:val="8"/>
        </w:rPr>
        <w:t xml:space="preserve"> </w:t>
      </w:r>
      <w:r>
        <w:t>or</w:t>
      </w:r>
      <w:r>
        <w:rPr>
          <w:spacing w:val="8"/>
        </w:rPr>
        <w:t xml:space="preserve"> </w:t>
      </w:r>
      <w:r>
        <w:t>died)</w:t>
      </w:r>
      <w:r>
        <w:rPr>
          <w:spacing w:val="6"/>
        </w:rPr>
        <w:t xml:space="preserve"> </w:t>
      </w:r>
      <w:r>
        <w:t>for</w:t>
      </w:r>
      <w:r>
        <w:rPr>
          <w:spacing w:val="8"/>
        </w:rPr>
        <w:t xml:space="preserve"> </w:t>
      </w:r>
      <w:r>
        <w:t>direct</w:t>
      </w:r>
      <w:r>
        <w:rPr>
          <w:spacing w:val="7"/>
        </w:rPr>
        <w:t xml:space="preserve"> </w:t>
      </w:r>
      <w:r>
        <w:t>comparison</w:t>
      </w:r>
      <w:r>
        <w:rPr>
          <w:spacing w:val="7"/>
        </w:rPr>
        <w:t xml:space="preserve"> </w:t>
      </w:r>
      <w:r>
        <w:t>purposes.</w:t>
      </w:r>
      <w:r>
        <w:rPr>
          <w:spacing w:val="7"/>
        </w:rPr>
        <w:t xml:space="preserve"> </w:t>
      </w:r>
      <w:r>
        <w:t>This</w:t>
      </w:r>
      <w:r>
        <w:rPr>
          <w:spacing w:val="7"/>
        </w:rPr>
        <w:t xml:space="preserve"> </w:t>
      </w:r>
      <w:r>
        <w:t>will</w:t>
      </w:r>
      <w:r>
        <w:rPr>
          <w:spacing w:val="7"/>
        </w:rPr>
        <w:t xml:space="preserve"> </w:t>
      </w:r>
      <w:r>
        <w:t>allow</w:t>
      </w:r>
    </w:p>
    <w:p w:rsidR="00452B51" w:rsidRDefault="00452B51">
      <w:pPr>
        <w:jc w:val="both"/>
        <w:sectPr w:rsidR="00452B51">
          <w:pgSz w:w="11910" w:h="16840"/>
          <w:pgMar w:top="1340" w:right="1320" w:bottom="1240" w:left="1340" w:header="0" w:footer="1046" w:gutter="0"/>
          <w:cols w:space="720"/>
        </w:sectPr>
      </w:pPr>
    </w:p>
    <w:p w:rsidR="00452B51" w:rsidRDefault="00920726">
      <w:pPr>
        <w:pStyle w:val="BodyText"/>
        <w:spacing w:before="79"/>
        <w:ind w:left="820" w:right="118"/>
        <w:jc w:val="both"/>
      </w:pPr>
      <w:r>
        <w:lastRenderedPageBreak/>
        <w:t>for</w:t>
      </w:r>
      <w:r>
        <w:rPr>
          <w:spacing w:val="-10"/>
        </w:rPr>
        <w:t xml:space="preserve"> </w:t>
      </w:r>
      <w:r>
        <w:t>a</w:t>
      </w:r>
      <w:r>
        <w:rPr>
          <w:spacing w:val="-11"/>
        </w:rPr>
        <w:t xml:space="preserve"> </w:t>
      </w:r>
      <w:r>
        <w:t>better</w:t>
      </w:r>
      <w:r>
        <w:rPr>
          <w:spacing w:val="-11"/>
        </w:rPr>
        <w:t xml:space="preserve"> </w:t>
      </w:r>
      <w:r>
        <w:t>measure</w:t>
      </w:r>
      <w:r>
        <w:rPr>
          <w:spacing w:val="-11"/>
        </w:rPr>
        <w:t xml:space="preserve"> </w:t>
      </w:r>
      <w:r>
        <w:t>of</w:t>
      </w:r>
      <w:r>
        <w:rPr>
          <w:spacing w:val="-10"/>
        </w:rPr>
        <w:t xml:space="preserve"> </w:t>
      </w:r>
      <w:r>
        <w:t>progress</w:t>
      </w:r>
      <w:r>
        <w:rPr>
          <w:spacing w:val="-11"/>
        </w:rPr>
        <w:t xml:space="preserve"> </w:t>
      </w:r>
      <w:r>
        <w:t>across</w:t>
      </w:r>
      <w:r>
        <w:rPr>
          <w:spacing w:val="-11"/>
        </w:rPr>
        <w:t xml:space="preserve"> </w:t>
      </w:r>
      <w:r>
        <w:t>the</w:t>
      </w:r>
      <w:r>
        <w:rPr>
          <w:spacing w:val="-11"/>
        </w:rPr>
        <w:t xml:space="preserve"> </w:t>
      </w:r>
      <w:r>
        <w:t>Trust</w:t>
      </w:r>
      <w:r>
        <w:rPr>
          <w:spacing w:val="-10"/>
        </w:rPr>
        <w:t xml:space="preserve"> </w:t>
      </w:r>
      <w:r>
        <w:t>than</w:t>
      </w:r>
      <w:r>
        <w:rPr>
          <w:spacing w:val="-11"/>
        </w:rPr>
        <w:t xml:space="preserve"> </w:t>
      </w:r>
      <w:r>
        <w:t>another</w:t>
      </w:r>
      <w:r>
        <w:rPr>
          <w:spacing w:val="-10"/>
        </w:rPr>
        <w:t xml:space="preserve"> </w:t>
      </w:r>
      <w:r>
        <w:t>random</w:t>
      </w:r>
      <w:r>
        <w:rPr>
          <w:spacing w:val="-11"/>
        </w:rPr>
        <w:t xml:space="preserve"> </w:t>
      </w:r>
      <w:r>
        <w:t>sample. From</w:t>
      </w:r>
      <w:r>
        <w:rPr>
          <w:spacing w:val="-8"/>
        </w:rPr>
        <w:t xml:space="preserve"> </w:t>
      </w:r>
      <w:r>
        <w:t>the</w:t>
      </w:r>
      <w:r>
        <w:rPr>
          <w:spacing w:val="-8"/>
        </w:rPr>
        <w:t xml:space="preserve"> </w:t>
      </w:r>
      <w:r>
        <w:t>last</w:t>
      </w:r>
      <w:r>
        <w:rPr>
          <w:spacing w:val="-8"/>
        </w:rPr>
        <w:t xml:space="preserve"> </w:t>
      </w:r>
      <w:r>
        <w:t>audit</w:t>
      </w:r>
      <w:r>
        <w:rPr>
          <w:spacing w:val="-8"/>
        </w:rPr>
        <w:t xml:space="preserve"> </w:t>
      </w:r>
      <w:r>
        <w:t>report</w:t>
      </w:r>
      <w:r>
        <w:rPr>
          <w:spacing w:val="-8"/>
        </w:rPr>
        <w:t xml:space="preserve"> </w:t>
      </w:r>
      <w:r>
        <w:t>there</w:t>
      </w:r>
      <w:r>
        <w:rPr>
          <w:spacing w:val="-8"/>
        </w:rPr>
        <w:t xml:space="preserve"> </w:t>
      </w:r>
      <w:r>
        <w:t>has</w:t>
      </w:r>
      <w:r>
        <w:rPr>
          <w:spacing w:val="-8"/>
        </w:rPr>
        <w:t xml:space="preserve"> </w:t>
      </w:r>
      <w:r>
        <w:t>been</w:t>
      </w:r>
      <w:r>
        <w:rPr>
          <w:spacing w:val="-8"/>
        </w:rPr>
        <w:t xml:space="preserve"> </w:t>
      </w:r>
      <w:r>
        <w:t>significant</w:t>
      </w:r>
      <w:r>
        <w:rPr>
          <w:spacing w:val="-8"/>
        </w:rPr>
        <w:t xml:space="preserve"> </w:t>
      </w:r>
      <w:r>
        <w:t>progress</w:t>
      </w:r>
      <w:r>
        <w:rPr>
          <w:spacing w:val="-8"/>
        </w:rPr>
        <w:t xml:space="preserve"> </w:t>
      </w:r>
      <w:r>
        <w:t>made</w:t>
      </w:r>
      <w:r>
        <w:rPr>
          <w:spacing w:val="-8"/>
        </w:rPr>
        <w:t xml:space="preserve"> </w:t>
      </w:r>
      <w:r>
        <w:t>in</w:t>
      </w:r>
      <w:r>
        <w:rPr>
          <w:spacing w:val="-9"/>
        </w:rPr>
        <w:t xml:space="preserve"> </w:t>
      </w:r>
      <w:r>
        <w:t>ensuring that care plans produced as part of the CPA framework are in line with policy, but</w:t>
      </w:r>
      <w:r>
        <w:rPr>
          <w:spacing w:val="-15"/>
        </w:rPr>
        <w:t xml:space="preserve"> </w:t>
      </w:r>
      <w:r>
        <w:t>perhaps</w:t>
      </w:r>
      <w:r>
        <w:rPr>
          <w:spacing w:val="-16"/>
        </w:rPr>
        <w:t xml:space="preserve"> </w:t>
      </w:r>
      <w:r>
        <w:t>more</w:t>
      </w:r>
      <w:r>
        <w:rPr>
          <w:spacing w:val="-17"/>
        </w:rPr>
        <w:t xml:space="preserve"> </w:t>
      </w:r>
      <w:r>
        <w:t>importantly,</w:t>
      </w:r>
      <w:r>
        <w:rPr>
          <w:spacing w:val="-16"/>
        </w:rPr>
        <w:t xml:space="preserve"> </w:t>
      </w:r>
      <w:r>
        <w:t>they</w:t>
      </w:r>
      <w:r>
        <w:rPr>
          <w:spacing w:val="-16"/>
        </w:rPr>
        <w:t xml:space="preserve"> </w:t>
      </w:r>
      <w:r>
        <w:t>are</w:t>
      </w:r>
      <w:r>
        <w:rPr>
          <w:spacing w:val="-15"/>
        </w:rPr>
        <w:t xml:space="preserve"> </w:t>
      </w:r>
      <w:r>
        <w:t>seen</w:t>
      </w:r>
      <w:r>
        <w:rPr>
          <w:spacing w:val="-17"/>
        </w:rPr>
        <w:t xml:space="preserve"> </w:t>
      </w:r>
      <w:r>
        <w:t>as</w:t>
      </w:r>
      <w:r>
        <w:rPr>
          <w:spacing w:val="-16"/>
        </w:rPr>
        <w:t xml:space="preserve"> </w:t>
      </w:r>
      <w:r>
        <w:t>effective</w:t>
      </w:r>
      <w:r>
        <w:rPr>
          <w:spacing w:val="-16"/>
        </w:rPr>
        <w:t xml:space="preserve"> </w:t>
      </w:r>
      <w:r>
        <w:t>and</w:t>
      </w:r>
      <w:r>
        <w:rPr>
          <w:spacing w:val="-16"/>
        </w:rPr>
        <w:t xml:space="preserve"> </w:t>
      </w:r>
      <w:r>
        <w:t>useful</w:t>
      </w:r>
      <w:r>
        <w:rPr>
          <w:spacing w:val="-16"/>
        </w:rPr>
        <w:t xml:space="preserve"> </w:t>
      </w:r>
      <w:r>
        <w:t>to</w:t>
      </w:r>
      <w:r>
        <w:rPr>
          <w:spacing w:val="-15"/>
        </w:rPr>
        <w:t xml:space="preserve"> </w:t>
      </w:r>
      <w:r>
        <w:t>everyone involved in producing them. This work is being embedded into the new clinical electronic</w:t>
      </w:r>
      <w:r>
        <w:rPr>
          <w:spacing w:val="-9"/>
        </w:rPr>
        <w:t xml:space="preserve"> </w:t>
      </w:r>
      <w:r>
        <w:t>recording</w:t>
      </w:r>
      <w:r>
        <w:rPr>
          <w:spacing w:val="-10"/>
        </w:rPr>
        <w:t xml:space="preserve"> </w:t>
      </w:r>
      <w:r>
        <w:t>system</w:t>
      </w:r>
      <w:r>
        <w:rPr>
          <w:spacing w:val="-9"/>
        </w:rPr>
        <w:t xml:space="preserve"> </w:t>
      </w:r>
      <w:r>
        <w:t>that</w:t>
      </w:r>
      <w:r>
        <w:rPr>
          <w:spacing w:val="-9"/>
        </w:rPr>
        <w:t xml:space="preserve"> </w:t>
      </w:r>
      <w:r>
        <w:t>is</w:t>
      </w:r>
      <w:r>
        <w:rPr>
          <w:spacing w:val="-11"/>
        </w:rPr>
        <w:t xml:space="preserve"> </w:t>
      </w:r>
      <w:r>
        <w:t>being</w:t>
      </w:r>
      <w:r>
        <w:rPr>
          <w:spacing w:val="-10"/>
        </w:rPr>
        <w:t xml:space="preserve"> </w:t>
      </w:r>
      <w:r>
        <w:t>developed</w:t>
      </w:r>
      <w:r>
        <w:rPr>
          <w:spacing w:val="-10"/>
        </w:rPr>
        <w:t xml:space="preserve"> </w:t>
      </w:r>
      <w:r>
        <w:t>(CITO)</w:t>
      </w:r>
      <w:r>
        <w:rPr>
          <w:spacing w:val="-9"/>
        </w:rPr>
        <w:t xml:space="preserve"> </w:t>
      </w:r>
      <w:r>
        <w:t>and</w:t>
      </w:r>
      <w:r>
        <w:rPr>
          <w:spacing w:val="-10"/>
        </w:rPr>
        <w:t xml:space="preserve"> </w:t>
      </w:r>
      <w:r>
        <w:t>there</w:t>
      </w:r>
      <w:r>
        <w:rPr>
          <w:spacing w:val="-10"/>
        </w:rPr>
        <w:t xml:space="preserve"> </w:t>
      </w:r>
      <w:r>
        <w:t>will</w:t>
      </w:r>
      <w:r>
        <w:rPr>
          <w:spacing w:val="-10"/>
        </w:rPr>
        <w:t xml:space="preserve"> </w:t>
      </w:r>
      <w:r>
        <w:t>be</w:t>
      </w:r>
      <w:r>
        <w:rPr>
          <w:spacing w:val="-10"/>
        </w:rPr>
        <w:t xml:space="preserve"> </w:t>
      </w:r>
      <w:r>
        <w:t>an updated CPA policy developed in line with these</w:t>
      </w:r>
      <w:r>
        <w:rPr>
          <w:spacing w:val="-3"/>
        </w:rPr>
        <w:t xml:space="preserve"> </w:t>
      </w:r>
      <w:r>
        <w:t>changes.</w:t>
      </w:r>
    </w:p>
    <w:p w:rsidR="00452B51" w:rsidRDefault="00452B51">
      <w:pPr>
        <w:pStyle w:val="BodyText"/>
        <w:spacing w:before="6"/>
      </w:pPr>
    </w:p>
    <w:p w:rsidR="00452B51" w:rsidRDefault="00920726">
      <w:pPr>
        <w:pStyle w:val="Heading2"/>
        <w:jc w:val="both"/>
      </w:pPr>
      <w:r>
        <w:rPr>
          <w:u w:val="thick"/>
        </w:rPr>
        <w:t>Recommendation 4:</w:t>
      </w:r>
    </w:p>
    <w:p w:rsidR="00452B51" w:rsidRDefault="00452B51">
      <w:pPr>
        <w:pStyle w:val="BodyText"/>
        <w:spacing w:before="3"/>
        <w:rPr>
          <w:b/>
          <w:sz w:val="16"/>
        </w:rPr>
      </w:pPr>
    </w:p>
    <w:p w:rsidR="00452B51" w:rsidRDefault="00920726">
      <w:pPr>
        <w:spacing w:before="92"/>
        <w:ind w:left="820" w:right="755"/>
        <w:rPr>
          <w:b/>
          <w:sz w:val="24"/>
        </w:rPr>
      </w:pPr>
      <w:r>
        <w:rPr>
          <w:b/>
          <w:sz w:val="24"/>
        </w:rPr>
        <w:t>The North Yorkshire Safeguarding Adults Board to review its multi- agency Information Sharing Protocol for exchange of information between agencies relating to vulnerable people living in its area.</w:t>
      </w:r>
    </w:p>
    <w:p w:rsidR="00452B51" w:rsidRDefault="00452B51">
      <w:pPr>
        <w:pStyle w:val="BodyText"/>
        <w:spacing w:before="4"/>
        <w:rPr>
          <w:b/>
        </w:rPr>
      </w:pPr>
    </w:p>
    <w:p w:rsidR="00452B51" w:rsidRDefault="00920726">
      <w:pPr>
        <w:pStyle w:val="BodyText"/>
        <w:ind w:left="820" w:right="118"/>
        <w:jc w:val="both"/>
      </w:pPr>
      <w:r>
        <w:t>As set out at recommendation 2, systems are currently bei</w:t>
      </w:r>
      <w:r>
        <w:t>ng developed to enable</w:t>
      </w:r>
      <w:r>
        <w:rPr>
          <w:spacing w:val="-7"/>
        </w:rPr>
        <w:t xml:space="preserve"> </w:t>
      </w:r>
      <w:r>
        <w:t>a</w:t>
      </w:r>
      <w:r>
        <w:rPr>
          <w:spacing w:val="-7"/>
        </w:rPr>
        <w:t xml:space="preserve"> </w:t>
      </w:r>
      <w:r>
        <w:t>quicker</w:t>
      </w:r>
      <w:r>
        <w:rPr>
          <w:spacing w:val="-7"/>
        </w:rPr>
        <w:t xml:space="preserve"> </w:t>
      </w:r>
      <w:r>
        <w:t>sharing</w:t>
      </w:r>
      <w:r>
        <w:rPr>
          <w:spacing w:val="-7"/>
        </w:rPr>
        <w:t xml:space="preserve"> </w:t>
      </w:r>
      <w:r>
        <w:t>of</w:t>
      </w:r>
      <w:r>
        <w:rPr>
          <w:spacing w:val="-7"/>
        </w:rPr>
        <w:t xml:space="preserve"> </w:t>
      </w:r>
      <w:r>
        <w:t>information</w:t>
      </w:r>
      <w:r>
        <w:rPr>
          <w:spacing w:val="-7"/>
        </w:rPr>
        <w:t xml:space="preserve"> </w:t>
      </w:r>
      <w:r>
        <w:t>between</w:t>
      </w:r>
      <w:r>
        <w:rPr>
          <w:spacing w:val="-7"/>
        </w:rPr>
        <w:t xml:space="preserve"> </w:t>
      </w:r>
      <w:r>
        <w:t>mental</w:t>
      </w:r>
      <w:r>
        <w:rPr>
          <w:spacing w:val="-7"/>
        </w:rPr>
        <w:t xml:space="preserve"> </w:t>
      </w:r>
      <w:r>
        <w:t>health</w:t>
      </w:r>
      <w:r>
        <w:rPr>
          <w:spacing w:val="-7"/>
        </w:rPr>
        <w:t xml:space="preserve"> </w:t>
      </w:r>
      <w:r>
        <w:t>and</w:t>
      </w:r>
      <w:r>
        <w:rPr>
          <w:spacing w:val="-7"/>
        </w:rPr>
        <w:t xml:space="preserve"> </w:t>
      </w:r>
      <w:r>
        <w:t>social</w:t>
      </w:r>
      <w:r>
        <w:rPr>
          <w:spacing w:val="-7"/>
        </w:rPr>
        <w:t xml:space="preserve"> </w:t>
      </w:r>
      <w:r>
        <w:t>care. Work is still required to enable such a system between all SAB partners. The Information Sharing Agreement (ISA) has been reviewed by SAB partners</w:t>
      </w:r>
      <w:r>
        <w:rPr>
          <w:spacing w:val="-10"/>
        </w:rPr>
        <w:t xml:space="preserve"> </w:t>
      </w:r>
      <w:r>
        <w:t>and circulated</w:t>
      </w:r>
      <w:r>
        <w:t xml:space="preserve"> for</w:t>
      </w:r>
      <w:r>
        <w:rPr>
          <w:spacing w:val="-1"/>
        </w:rPr>
        <w:t xml:space="preserve"> </w:t>
      </w:r>
      <w:r>
        <w:t>signatures.</w:t>
      </w:r>
    </w:p>
    <w:p w:rsidR="00452B51" w:rsidRDefault="00452B51">
      <w:pPr>
        <w:pStyle w:val="BodyText"/>
        <w:spacing w:before="4"/>
      </w:pPr>
    </w:p>
    <w:p w:rsidR="00452B51" w:rsidRDefault="00920726">
      <w:pPr>
        <w:pStyle w:val="BodyText"/>
        <w:ind w:left="820" w:right="118"/>
        <w:jc w:val="both"/>
      </w:pPr>
      <w:r>
        <w:t>After seeking advice from NYCC Data Governance Team, a Data Protection Impact Assessment (DPIA), will be carried out retrospectively and could delay the implementation of the Information Sharing Agreement by a period of 3-6 months.</w:t>
      </w:r>
    </w:p>
    <w:p w:rsidR="00452B51" w:rsidRDefault="00452B51">
      <w:pPr>
        <w:pStyle w:val="BodyText"/>
        <w:spacing w:before="5"/>
      </w:pPr>
    </w:p>
    <w:p w:rsidR="00452B51" w:rsidRDefault="00920726">
      <w:pPr>
        <w:pStyle w:val="Heading2"/>
        <w:jc w:val="both"/>
      </w:pPr>
      <w:r>
        <w:rPr>
          <w:u w:val="thick"/>
        </w:rPr>
        <w:t>Recom</w:t>
      </w:r>
      <w:r>
        <w:rPr>
          <w:u w:val="thick"/>
        </w:rPr>
        <w:t>mendation 5:</w:t>
      </w:r>
    </w:p>
    <w:p w:rsidR="00452B51" w:rsidRDefault="00452B51">
      <w:pPr>
        <w:pStyle w:val="BodyText"/>
        <w:spacing w:before="5"/>
        <w:rPr>
          <w:b/>
          <w:sz w:val="16"/>
        </w:rPr>
      </w:pPr>
    </w:p>
    <w:p w:rsidR="00452B51" w:rsidRDefault="00920726">
      <w:pPr>
        <w:spacing w:before="92"/>
        <w:ind w:left="820" w:right="142"/>
        <w:rPr>
          <w:b/>
          <w:sz w:val="24"/>
        </w:rPr>
      </w:pPr>
      <w:r>
        <w:rPr>
          <w:b/>
          <w:sz w:val="24"/>
        </w:rPr>
        <w:t>The North Yorkshire Safeguarding Adults Board to arrange multi-agency training for front line staff to enhance confidence in the concept of</w:t>
      </w:r>
    </w:p>
    <w:p w:rsidR="00452B51" w:rsidRDefault="00920726">
      <w:pPr>
        <w:ind w:left="820" w:right="395"/>
        <w:rPr>
          <w:b/>
          <w:sz w:val="24"/>
        </w:rPr>
      </w:pPr>
      <w:r>
        <w:rPr>
          <w:b/>
          <w:sz w:val="24"/>
        </w:rPr>
        <w:t>‘professional challenge.’ This to include an appreciation of the validity of professional challenge an</w:t>
      </w:r>
      <w:r>
        <w:rPr>
          <w:b/>
          <w:sz w:val="24"/>
        </w:rPr>
        <w:t>d escalation as key tools in protecting vulnerable people. The training will also incorporate a mutual</w:t>
      </w:r>
    </w:p>
    <w:p w:rsidR="00452B51" w:rsidRDefault="00920726">
      <w:pPr>
        <w:ind w:left="820" w:right="635"/>
        <w:rPr>
          <w:b/>
          <w:sz w:val="24"/>
        </w:rPr>
      </w:pPr>
      <w:r>
        <w:rPr>
          <w:b/>
          <w:sz w:val="24"/>
        </w:rPr>
        <w:t>understanding of the breadth and remit of other professional’s roles within the arena of protecting and supporting vulnerable people.</w:t>
      </w:r>
    </w:p>
    <w:p w:rsidR="00452B51" w:rsidRDefault="00452B51">
      <w:pPr>
        <w:pStyle w:val="BodyText"/>
        <w:spacing w:before="2"/>
        <w:rPr>
          <w:b/>
        </w:rPr>
      </w:pPr>
    </w:p>
    <w:p w:rsidR="00452B51" w:rsidRDefault="00920726">
      <w:pPr>
        <w:pStyle w:val="BodyText"/>
        <w:spacing w:before="1"/>
        <w:ind w:left="820" w:right="118"/>
        <w:jc w:val="both"/>
      </w:pPr>
      <w:r>
        <w:t>There</w:t>
      </w:r>
      <w:r>
        <w:rPr>
          <w:spacing w:val="-14"/>
        </w:rPr>
        <w:t xml:space="preserve"> </w:t>
      </w:r>
      <w:r>
        <w:t>now</w:t>
      </w:r>
      <w:r>
        <w:rPr>
          <w:spacing w:val="-14"/>
        </w:rPr>
        <w:t xml:space="preserve"> </w:t>
      </w:r>
      <w:r>
        <w:t>has</w:t>
      </w:r>
      <w:r>
        <w:rPr>
          <w:spacing w:val="-15"/>
        </w:rPr>
        <w:t xml:space="preserve"> </w:t>
      </w:r>
      <w:r>
        <w:t>to</w:t>
      </w:r>
      <w:r>
        <w:rPr>
          <w:spacing w:val="-14"/>
        </w:rPr>
        <w:t xml:space="preserve"> </w:t>
      </w:r>
      <w:r>
        <w:t>now</w:t>
      </w:r>
      <w:r>
        <w:rPr>
          <w:spacing w:val="-14"/>
        </w:rPr>
        <w:t xml:space="preserve"> </w:t>
      </w:r>
      <w:r>
        <w:t>be</w:t>
      </w:r>
      <w:r>
        <w:rPr>
          <w:spacing w:val="-15"/>
        </w:rPr>
        <w:t xml:space="preserve"> </w:t>
      </w:r>
      <w:r>
        <w:t>a</w:t>
      </w:r>
      <w:r>
        <w:rPr>
          <w:spacing w:val="-14"/>
        </w:rPr>
        <w:t xml:space="preserve"> </w:t>
      </w:r>
      <w:r>
        <w:t>registered</w:t>
      </w:r>
      <w:r>
        <w:rPr>
          <w:spacing w:val="-14"/>
        </w:rPr>
        <w:t xml:space="preserve"> </w:t>
      </w:r>
      <w:r>
        <w:t>professional</w:t>
      </w:r>
      <w:r>
        <w:rPr>
          <w:spacing w:val="-15"/>
        </w:rPr>
        <w:t xml:space="preserve"> </w:t>
      </w:r>
      <w:r>
        <w:t>involved</w:t>
      </w:r>
      <w:r>
        <w:rPr>
          <w:spacing w:val="-15"/>
        </w:rPr>
        <w:t xml:space="preserve"> </w:t>
      </w:r>
      <w:r>
        <w:t>in</w:t>
      </w:r>
      <w:r>
        <w:rPr>
          <w:spacing w:val="-15"/>
        </w:rPr>
        <w:t xml:space="preserve"> </w:t>
      </w:r>
      <w:r>
        <w:t>all</w:t>
      </w:r>
      <w:r>
        <w:rPr>
          <w:spacing w:val="-15"/>
        </w:rPr>
        <w:t xml:space="preserve"> </w:t>
      </w:r>
      <w:r>
        <w:t>cases</w:t>
      </w:r>
      <w:r>
        <w:rPr>
          <w:spacing w:val="-15"/>
        </w:rPr>
        <w:t xml:space="preserve"> </w:t>
      </w:r>
      <w:r>
        <w:t>for</w:t>
      </w:r>
      <w:r>
        <w:rPr>
          <w:spacing w:val="-14"/>
        </w:rPr>
        <w:t xml:space="preserve"> </w:t>
      </w:r>
      <w:r>
        <w:t>STR workers to feed up to. Health and Adult Services, TEWV and Bradford mental health trust are currently considering joined up training, across the whole of care and support. In addition, the TEWV</w:t>
      </w:r>
      <w:r>
        <w:t xml:space="preserve"> Safeguarding Adults procedure was updated, and has been in use since March 2020, which includes a section on Professional Challenge. The safeguarding training packages are currently under review, to ensure adherence to the intercollegiate documents for Sa</w:t>
      </w:r>
      <w:r>
        <w:t>feguarding Adults &amp; Children. These will also emphasise the importance of professional challenge within them. Professional challenge, within the context of Safeguarding Children, is already embedded into Trust policies/procedures and is transferrable skill</w:t>
      </w:r>
      <w:r>
        <w:t>s across all</w:t>
      </w:r>
      <w:r>
        <w:rPr>
          <w:spacing w:val="-2"/>
        </w:rPr>
        <w:t xml:space="preserve"> </w:t>
      </w:r>
      <w:r>
        <w:t>specialties.</w:t>
      </w:r>
    </w:p>
    <w:p w:rsidR="00452B51" w:rsidRDefault="00452B51">
      <w:pPr>
        <w:jc w:val="both"/>
        <w:sectPr w:rsidR="00452B51">
          <w:pgSz w:w="11910" w:h="16840"/>
          <w:pgMar w:top="1340" w:right="1320" w:bottom="1240" w:left="1340" w:header="0" w:footer="1046" w:gutter="0"/>
          <w:cols w:space="720"/>
        </w:sectPr>
      </w:pPr>
    </w:p>
    <w:p w:rsidR="00452B51" w:rsidRDefault="00920726">
      <w:pPr>
        <w:pStyle w:val="Heading2"/>
        <w:spacing w:before="81"/>
      </w:pPr>
      <w:r>
        <w:rPr>
          <w:u w:val="thick"/>
        </w:rPr>
        <w:lastRenderedPageBreak/>
        <w:t>Recommendation 6:</w:t>
      </w:r>
    </w:p>
    <w:p w:rsidR="00452B51" w:rsidRDefault="00452B51">
      <w:pPr>
        <w:pStyle w:val="BodyText"/>
        <w:spacing w:before="3"/>
        <w:rPr>
          <w:b/>
          <w:sz w:val="16"/>
        </w:rPr>
      </w:pPr>
    </w:p>
    <w:p w:rsidR="00452B51" w:rsidRDefault="00920726">
      <w:pPr>
        <w:spacing w:before="92"/>
        <w:ind w:left="820" w:right="118"/>
        <w:jc w:val="both"/>
        <w:rPr>
          <w:b/>
          <w:sz w:val="24"/>
        </w:rPr>
      </w:pPr>
      <w:r>
        <w:rPr>
          <w:b/>
          <w:sz w:val="24"/>
        </w:rPr>
        <w:t>North</w:t>
      </w:r>
      <w:r>
        <w:rPr>
          <w:b/>
          <w:spacing w:val="-6"/>
          <w:sz w:val="24"/>
        </w:rPr>
        <w:t xml:space="preserve"> </w:t>
      </w:r>
      <w:r>
        <w:rPr>
          <w:b/>
          <w:sz w:val="24"/>
        </w:rPr>
        <w:t>Yorkshire</w:t>
      </w:r>
      <w:r>
        <w:rPr>
          <w:b/>
          <w:spacing w:val="-6"/>
          <w:sz w:val="24"/>
        </w:rPr>
        <w:t xml:space="preserve"> </w:t>
      </w:r>
      <w:r>
        <w:rPr>
          <w:b/>
          <w:sz w:val="24"/>
        </w:rPr>
        <w:t>County</w:t>
      </w:r>
      <w:r>
        <w:rPr>
          <w:b/>
          <w:spacing w:val="-8"/>
          <w:sz w:val="24"/>
        </w:rPr>
        <w:t xml:space="preserve"> </w:t>
      </w:r>
      <w:r>
        <w:rPr>
          <w:b/>
          <w:sz w:val="24"/>
        </w:rPr>
        <w:t>Council</w:t>
      </w:r>
      <w:r>
        <w:rPr>
          <w:b/>
          <w:spacing w:val="-5"/>
          <w:sz w:val="24"/>
        </w:rPr>
        <w:t xml:space="preserve"> </w:t>
      </w:r>
      <w:r>
        <w:rPr>
          <w:b/>
          <w:sz w:val="24"/>
        </w:rPr>
        <w:t>to</w:t>
      </w:r>
      <w:r>
        <w:rPr>
          <w:b/>
          <w:spacing w:val="-6"/>
          <w:sz w:val="24"/>
        </w:rPr>
        <w:t xml:space="preserve"> </w:t>
      </w:r>
      <w:r>
        <w:rPr>
          <w:b/>
          <w:sz w:val="24"/>
        </w:rPr>
        <w:t>ensure</w:t>
      </w:r>
      <w:r>
        <w:rPr>
          <w:b/>
          <w:spacing w:val="-6"/>
          <w:sz w:val="24"/>
        </w:rPr>
        <w:t xml:space="preserve"> </w:t>
      </w:r>
      <w:r>
        <w:rPr>
          <w:b/>
          <w:sz w:val="24"/>
        </w:rPr>
        <w:t>a</w:t>
      </w:r>
      <w:r>
        <w:rPr>
          <w:b/>
          <w:spacing w:val="-6"/>
          <w:sz w:val="24"/>
        </w:rPr>
        <w:t xml:space="preserve"> </w:t>
      </w:r>
      <w:r>
        <w:rPr>
          <w:b/>
          <w:sz w:val="24"/>
        </w:rPr>
        <w:t>comprehensive</w:t>
      </w:r>
      <w:r>
        <w:rPr>
          <w:b/>
          <w:spacing w:val="-6"/>
          <w:sz w:val="24"/>
        </w:rPr>
        <w:t xml:space="preserve"> </w:t>
      </w:r>
      <w:r>
        <w:rPr>
          <w:b/>
          <w:sz w:val="24"/>
        </w:rPr>
        <w:t>support</w:t>
      </w:r>
      <w:r>
        <w:rPr>
          <w:b/>
          <w:spacing w:val="-5"/>
          <w:sz w:val="24"/>
        </w:rPr>
        <w:t xml:space="preserve"> </w:t>
      </w:r>
      <w:r>
        <w:rPr>
          <w:b/>
          <w:sz w:val="24"/>
        </w:rPr>
        <w:t>plan is completed for all vulnerable people who may take up residence at premises owned or managed by the</w:t>
      </w:r>
      <w:r>
        <w:rPr>
          <w:b/>
          <w:spacing w:val="-5"/>
          <w:sz w:val="24"/>
        </w:rPr>
        <w:t xml:space="preserve"> </w:t>
      </w:r>
      <w:r>
        <w:rPr>
          <w:b/>
          <w:sz w:val="24"/>
        </w:rPr>
        <w:t>Council.</w:t>
      </w:r>
    </w:p>
    <w:p w:rsidR="00452B51" w:rsidRDefault="00452B51">
      <w:pPr>
        <w:pStyle w:val="BodyText"/>
        <w:spacing w:before="4"/>
        <w:rPr>
          <w:b/>
        </w:rPr>
      </w:pPr>
    </w:p>
    <w:p w:rsidR="00452B51" w:rsidRDefault="00920726">
      <w:pPr>
        <w:pStyle w:val="BodyText"/>
        <w:ind w:left="820" w:right="118"/>
        <w:jc w:val="both"/>
      </w:pPr>
      <w:r>
        <w:t>All people open to Mental Health services has assessment and support plan</w:t>
      </w:r>
      <w:r>
        <w:rPr>
          <w:spacing w:val="-28"/>
        </w:rPr>
        <w:t xml:space="preserve"> </w:t>
      </w:r>
      <w:r>
        <w:t>in place. Only one premises is still owned and managed by the Council and this is in the process of being closed. All of those currently resident within that placement have a support</w:t>
      </w:r>
      <w:r>
        <w:t xml:space="preserve"> plan and risk assessment in</w:t>
      </w:r>
      <w:r>
        <w:rPr>
          <w:spacing w:val="-2"/>
        </w:rPr>
        <w:t xml:space="preserve"> </w:t>
      </w:r>
      <w:r>
        <w:t>place.</w:t>
      </w:r>
    </w:p>
    <w:p w:rsidR="00452B51" w:rsidRDefault="00452B51">
      <w:pPr>
        <w:pStyle w:val="BodyText"/>
        <w:spacing w:before="5"/>
      </w:pPr>
    </w:p>
    <w:p w:rsidR="00452B51" w:rsidRDefault="00920726">
      <w:pPr>
        <w:pStyle w:val="Heading2"/>
        <w:jc w:val="both"/>
      </w:pPr>
      <w:r>
        <w:rPr>
          <w:u w:val="thick"/>
        </w:rPr>
        <w:t>Recommendation 7:</w:t>
      </w:r>
    </w:p>
    <w:p w:rsidR="00452B51" w:rsidRDefault="00452B51">
      <w:pPr>
        <w:pStyle w:val="BodyText"/>
        <w:spacing w:before="4"/>
        <w:rPr>
          <w:b/>
          <w:sz w:val="16"/>
        </w:rPr>
      </w:pPr>
    </w:p>
    <w:p w:rsidR="00452B51" w:rsidRDefault="00920726">
      <w:pPr>
        <w:spacing w:before="92"/>
        <w:ind w:left="820" w:right="488"/>
        <w:rPr>
          <w:b/>
          <w:sz w:val="24"/>
        </w:rPr>
      </w:pPr>
      <w:r>
        <w:rPr>
          <w:b/>
          <w:sz w:val="24"/>
        </w:rPr>
        <w:t>The North Yorkshire Safeguarding Adults Board explores the role of Clinical Commissioning Groups (fulfilling their responsibility as a commissioner of services) in scrutinising both patient choice and</w:t>
      </w:r>
      <w:r>
        <w:rPr>
          <w:b/>
          <w:sz w:val="24"/>
        </w:rPr>
        <w:t xml:space="preserve"> the suitability of proposed accommodation for adults at risk.</w:t>
      </w:r>
    </w:p>
    <w:p w:rsidR="00452B51" w:rsidRDefault="00452B51">
      <w:pPr>
        <w:pStyle w:val="BodyText"/>
        <w:spacing w:before="10"/>
        <w:rPr>
          <w:b/>
          <w:sz w:val="23"/>
        </w:rPr>
      </w:pPr>
    </w:p>
    <w:p w:rsidR="00452B51" w:rsidRDefault="00920726">
      <w:pPr>
        <w:pStyle w:val="BodyText"/>
        <w:ind w:left="820" w:right="871"/>
      </w:pPr>
      <w:r>
        <w:t>Assurances have been given that this is operational and in line with the section 117 after-care pathway.</w:t>
      </w:r>
    </w:p>
    <w:p w:rsidR="00452B51" w:rsidRDefault="00452B51">
      <w:pPr>
        <w:pStyle w:val="BodyText"/>
        <w:rPr>
          <w:sz w:val="26"/>
        </w:rPr>
      </w:pPr>
    </w:p>
    <w:p w:rsidR="00452B51" w:rsidRDefault="00452B51">
      <w:pPr>
        <w:pStyle w:val="BodyText"/>
        <w:rPr>
          <w:sz w:val="26"/>
        </w:rPr>
      </w:pPr>
    </w:p>
    <w:p w:rsidR="00452B51" w:rsidRDefault="00452B51">
      <w:pPr>
        <w:pStyle w:val="BodyText"/>
        <w:spacing w:before="5"/>
        <w:rPr>
          <w:sz w:val="20"/>
        </w:rPr>
      </w:pPr>
    </w:p>
    <w:p w:rsidR="00452B51" w:rsidRDefault="00920726">
      <w:pPr>
        <w:pStyle w:val="Heading2"/>
        <w:numPr>
          <w:ilvl w:val="0"/>
          <w:numId w:val="1"/>
        </w:numPr>
        <w:tabs>
          <w:tab w:val="left" w:pos="819"/>
          <w:tab w:val="left" w:pos="820"/>
        </w:tabs>
      </w:pPr>
      <w:r>
        <w:t>Recommendation</w:t>
      </w:r>
    </w:p>
    <w:p w:rsidR="00452B51" w:rsidRDefault="00452B51">
      <w:pPr>
        <w:pStyle w:val="BodyText"/>
        <w:spacing w:before="4"/>
        <w:rPr>
          <w:b/>
        </w:rPr>
      </w:pPr>
    </w:p>
    <w:p w:rsidR="00452B51" w:rsidRDefault="00920726">
      <w:pPr>
        <w:pStyle w:val="ListParagraph"/>
        <w:numPr>
          <w:ilvl w:val="1"/>
          <w:numId w:val="1"/>
        </w:numPr>
        <w:tabs>
          <w:tab w:val="left" w:pos="820"/>
        </w:tabs>
        <w:ind w:right="119"/>
        <w:jc w:val="both"/>
        <w:rPr>
          <w:sz w:val="24"/>
        </w:rPr>
      </w:pPr>
      <w:r>
        <w:rPr>
          <w:sz w:val="24"/>
        </w:rPr>
        <w:t>It is recommended that the North Yorkshire Safeguarding Adults Board notes the</w:t>
      </w:r>
      <w:r>
        <w:rPr>
          <w:spacing w:val="-8"/>
          <w:sz w:val="24"/>
        </w:rPr>
        <w:t xml:space="preserve"> </w:t>
      </w:r>
      <w:r>
        <w:rPr>
          <w:sz w:val="24"/>
        </w:rPr>
        <w:t>position</w:t>
      </w:r>
      <w:r>
        <w:rPr>
          <w:spacing w:val="-8"/>
          <w:sz w:val="24"/>
        </w:rPr>
        <w:t xml:space="preserve"> </w:t>
      </w:r>
      <w:r>
        <w:rPr>
          <w:sz w:val="24"/>
        </w:rPr>
        <w:t>in</w:t>
      </w:r>
      <w:r>
        <w:rPr>
          <w:spacing w:val="-9"/>
          <w:sz w:val="24"/>
        </w:rPr>
        <w:t xml:space="preserve"> </w:t>
      </w:r>
      <w:r>
        <w:rPr>
          <w:sz w:val="24"/>
        </w:rPr>
        <w:t>relation</w:t>
      </w:r>
      <w:r>
        <w:rPr>
          <w:spacing w:val="-8"/>
          <w:sz w:val="24"/>
        </w:rPr>
        <w:t xml:space="preserve"> </w:t>
      </w:r>
      <w:r>
        <w:rPr>
          <w:sz w:val="24"/>
        </w:rPr>
        <w:t>to</w:t>
      </w:r>
      <w:r>
        <w:rPr>
          <w:spacing w:val="-8"/>
          <w:sz w:val="24"/>
        </w:rPr>
        <w:t xml:space="preserve"> </w:t>
      </w:r>
      <w:r>
        <w:rPr>
          <w:sz w:val="24"/>
        </w:rPr>
        <w:t>addressing</w:t>
      </w:r>
      <w:r>
        <w:rPr>
          <w:spacing w:val="-9"/>
          <w:sz w:val="24"/>
        </w:rPr>
        <w:t xml:space="preserve"> </w:t>
      </w:r>
      <w:r>
        <w:rPr>
          <w:sz w:val="24"/>
        </w:rPr>
        <w:t>the</w:t>
      </w:r>
      <w:r>
        <w:rPr>
          <w:spacing w:val="-8"/>
          <w:sz w:val="24"/>
        </w:rPr>
        <w:t xml:space="preserve"> </w:t>
      </w:r>
      <w:r>
        <w:rPr>
          <w:sz w:val="24"/>
        </w:rPr>
        <w:t>recommendations</w:t>
      </w:r>
      <w:r>
        <w:rPr>
          <w:spacing w:val="-9"/>
          <w:sz w:val="24"/>
        </w:rPr>
        <w:t xml:space="preserve"> </w:t>
      </w:r>
      <w:r>
        <w:rPr>
          <w:sz w:val="24"/>
        </w:rPr>
        <w:t>of</w:t>
      </w:r>
      <w:r>
        <w:rPr>
          <w:spacing w:val="-8"/>
          <w:sz w:val="24"/>
        </w:rPr>
        <w:t xml:space="preserve"> </w:t>
      </w:r>
      <w:r>
        <w:rPr>
          <w:sz w:val="24"/>
        </w:rPr>
        <w:t>the</w:t>
      </w:r>
      <w:r>
        <w:rPr>
          <w:spacing w:val="-8"/>
          <w:sz w:val="24"/>
        </w:rPr>
        <w:t xml:space="preserve"> </w:t>
      </w:r>
      <w:r>
        <w:rPr>
          <w:sz w:val="24"/>
        </w:rPr>
        <w:t>Safeguarding Adults Review of</w:t>
      </w:r>
      <w:r>
        <w:rPr>
          <w:spacing w:val="-2"/>
          <w:sz w:val="24"/>
        </w:rPr>
        <w:t xml:space="preserve"> </w:t>
      </w:r>
      <w:r>
        <w:rPr>
          <w:sz w:val="24"/>
        </w:rPr>
        <w:t>‘Ian’.</w:t>
      </w:r>
    </w:p>
    <w:p w:rsidR="00452B51" w:rsidRDefault="00452B51">
      <w:pPr>
        <w:pStyle w:val="BodyText"/>
        <w:rPr>
          <w:sz w:val="26"/>
        </w:rPr>
      </w:pPr>
    </w:p>
    <w:p w:rsidR="00452B51" w:rsidRDefault="00452B51">
      <w:pPr>
        <w:pStyle w:val="BodyText"/>
        <w:rPr>
          <w:sz w:val="26"/>
        </w:rPr>
      </w:pPr>
    </w:p>
    <w:p w:rsidR="00452B51" w:rsidRDefault="00452B51">
      <w:pPr>
        <w:pStyle w:val="BodyText"/>
        <w:rPr>
          <w:sz w:val="26"/>
        </w:rPr>
      </w:pPr>
    </w:p>
    <w:p w:rsidR="00452B51" w:rsidRDefault="00452B51">
      <w:pPr>
        <w:pStyle w:val="BodyText"/>
        <w:rPr>
          <w:sz w:val="26"/>
        </w:rPr>
      </w:pPr>
    </w:p>
    <w:p w:rsidR="00452B51" w:rsidRDefault="00920726">
      <w:pPr>
        <w:pStyle w:val="Heading2"/>
        <w:spacing w:before="198"/>
        <w:ind w:left="100"/>
      </w:pPr>
      <w:r>
        <w:t>Louise Wallace</w:t>
      </w:r>
    </w:p>
    <w:p w:rsidR="00452B51" w:rsidRDefault="00452B51">
      <w:pPr>
        <w:pStyle w:val="BodyText"/>
        <w:spacing w:before="3"/>
        <w:rPr>
          <w:b/>
        </w:rPr>
      </w:pPr>
    </w:p>
    <w:p w:rsidR="00452B51" w:rsidRDefault="00920726">
      <w:pPr>
        <w:spacing w:line="482" w:lineRule="auto"/>
        <w:ind w:left="100" w:right="4542"/>
        <w:rPr>
          <w:b/>
          <w:sz w:val="24"/>
        </w:rPr>
      </w:pPr>
      <w:r>
        <w:rPr>
          <w:b/>
          <w:sz w:val="24"/>
        </w:rPr>
        <w:t>Chair of the Learning and Review Group September 2020</w:t>
      </w:r>
    </w:p>
    <w:p w:rsidR="00452B51" w:rsidRDefault="00452B51">
      <w:pPr>
        <w:spacing w:line="482" w:lineRule="auto"/>
        <w:rPr>
          <w:sz w:val="24"/>
        </w:rPr>
        <w:sectPr w:rsidR="00452B51">
          <w:pgSz w:w="11910" w:h="16840"/>
          <w:pgMar w:top="1340" w:right="1320" w:bottom="1240" w:left="1340" w:header="0" w:footer="1046" w:gutter="0"/>
          <w:cols w:space="720"/>
        </w:sectPr>
      </w:pPr>
    </w:p>
    <w:p w:rsidR="00452B51" w:rsidRDefault="00920726">
      <w:pPr>
        <w:spacing w:before="61"/>
        <w:ind w:left="100"/>
        <w:rPr>
          <w:b/>
          <w:sz w:val="32"/>
        </w:rPr>
      </w:pPr>
      <w:r>
        <w:rPr>
          <w:b/>
          <w:sz w:val="32"/>
        </w:rPr>
        <w:lastRenderedPageBreak/>
        <w:t>Glossary of Terms</w:t>
      </w:r>
    </w:p>
    <w:p w:rsidR="00452B51" w:rsidRDefault="00452B51">
      <w:pPr>
        <w:pStyle w:val="BodyText"/>
        <w:rPr>
          <w:b/>
          <w:sz w:val="20"/>
        </w:rPr>
      </w:pPr>
    </w:p>
    <w:p w:rsidR="00452B51" w:rsidRDefault="00452B51">
      <w:pPr>
        <w:pStyle w:val="BodyText"/>
        <w:rPr>
          <w:b/>
          <w:sz w:val="12"/>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7320"/>
      </w:tblGrid>
      <w:tr w:rsidR="00452B51">
        <w:trPr>
          <w:trHeight w:val="414"/>
        </w:trPr>
        <w:tc>
          <w:tcPr>
            <w:tcW w:w="1697" w:type="dxa"/>
            <w:shd w:val="clear" w:color="auto" w:fill="F1F1F1"/>
          </w:tcPr>
          <w:p w:rsidR="00452B51" w:rsidRDefault="00920726">
            <w:pPr>
              <w:pStyle w:val="TableParagraph"/>
              <w:spacing w:line="240" w:lineRule="auto"/>
              <w:ind w:left="107"/>
              <w:rPr>
                <w:b/>
                <w:sz w:val="24"/>
              </w:rPr>
            </w:pPr>
            <w:r>
              <w:rPr>
                <w:b/>
                <w:sz w:val="24"/>
              </w:rPr>
              <w:t>Acronym</w:t>
            </w:r>
          </w:p>
        </w:tc>
        <w:tc>
          <w:tcPr>
            <w:tcW w:w="7320" w:type="dxa"/>
            <w:shd w:val="clear" w:color="auto" w:fill="F1F1F1"/>
          </w:tcPr>
          <w:p w:rsidR="00452B51" w:rsidRDefault="00920726">
            <w:pPr>
              <w:pStyle w:val="TableParagraph"/>
              <w:spacing w:line="240" w:lineRule="auto"/>
              <w:rPr>
                <w:b/>
                <w:sz w:val="24"/>
              </w:rPr>
            </w:pPr>
            <w:r>
              <w:rPr>
                <w:b/>
                <w:sz w:val="24"/>
              </w:rPr>
              <w:t>In Full</w:t>
            </w:r>
          </w:p>
        </w:tc>
      </w:tr>
      <w:tr w:rsidR="00452B51">
        <w:trPr>
          <w:trHeight w:val="413"/>
        </w:trPr>
        <w:tc>
          <w:tcPr>
            <w:tcW w:w="1697" w:type="dxa"/>
          </w:tcPr>
          <w:p w:rsidR="00452B51" w:rsidRDefault="00920726">
            <w:pPr>
              <w:pStyle w:val="TableParagraph"/>
              <w:ind w:left="107"/>
              <w:rPr>
                <w:b/>
                <w:sz w:val="24"/>
              </w:rPr>
            </w:pPr>
            <w:r>
              <w:rPr>
                <w:b/>
                <w:sz w:val="24"/>
              </w:rPr>
              <w:t>CPA</w:t>
            </w:r>
          </w:p>
        </w:tc>
        <w:tc>
          <w:tcPr>
            <w:tcW w:w="7320" w:type="dxa"/>
          </w:tcPr>
          <w:p w:rsidR="00452B51" w:rsidRDefault="00920726">
            <w:pPr>
              <w:pStyle w:val="TableParagraph"/>
              <w:spacing w:line="274" w:lineRule="exact"/>
              <w:rPr>
                <w:sz w:val="24"/>
              </w:rPr>
            </w:pPr>
            <w:r>
              <w:rPr>
                <w:sz w:val="24"/>
              </w:rPr>
              <w:t>Care Programme Approach</w:t>
            </w:r>
          </w:p>
        </w:tc>
      </w:tr>
      <w:tr w:rsidR="00452B51">
        <w:trPr>
          <w:trHeight w:val="413"/>
        </w:trPr>
        <w:tc>
          <w:tcPr>
            <w:tcW w:w="1697" w:type="dxa"/>
          </w:tcPr>
          <w:p w:rsidR="00452B51" w:rsidRDefault="00920726">
            <w:pPr>
              <w:pStyle w:val="TableParagraph"/>
              <w:ind w:left="107"/>
              <w:rPr>
                <w:b/>
                <w:sz w:val="24"/>
              </w:rPr>
            </w:pPr>
            <w:r>
              <w:rPr>
                <w:b/>
                <w:sz w:val="24"/>
              </w:rPr>
              <w:t>ISA</w:t>
            </w:r>
          </w:p>
        </w:tc>
        <w:tc>
          <w:tcPr>
            <w:tcW w:w="7320" w:type="dxa"/>
          </w:tcPr>
          <w:p w:rsidR="00452B51" w:rsidRDefault="00920726">
            <w:pPr>
              <w:pStyle w:val="TableParagraph"/>
              <w:spacing w:line="274" w:lineRule="exact"/>
              <w:rPr>
                <w:sz w:val="24"/>
              </w:rPr>
            </w:pPr>
            <w:r>
              <w:rPr>
                <w:sz w:val="24"/>
              </w:rPr>
              <w:t>Information Sharing Agreement</w:t>
            </w:r>
          </w:p>
        </w:tc>
      </w:tr>
      <w:tr w:rsidR="00452B51">
        <w:trPr>
          <w:trHeight w:val="413"/>
        </w:trPr>
        <w:tc>
          <w:tcPr>
            <w:tcW w:w="1697" w:type="dxa"/>
          </w:tcPr>
          <w:p w:rsidR="00452B51" w:rsidRDefault="00920726">
            <w:pPr>
              <w:pStyle w:val="TableParagraph"/>
              <w:spacing w:line="240" w:lineRule="auto"/>
              <w:ind w:left="107"/>
              <w:rPr>
                <w:b/>
                <w:sz w:val="24"/>
              </w:rPr>
            </w:pPr>
            <w:r>
              <w:rPr>
                <w:b/>
                <w:sz w:val="24"/>
              </w:rPr>
              <w:t>NYCC</w:t>
            </w:r>
          </w:p>
        </w:tc>
        <w:tc>
          <w:tcPr>
            <w:tcW w:w="7320" w:type="dxa"/>
          </w:tcPr>
          <w:p w:rsidR="00452B51" w:rsidRDefault="00920726">
            <w:pPr>
              <w:pStyle w:val="TableParagraph"/>
              <w:rPr>
                <w:sz w:val="24"/>
              </w:rPr>
            </w:pPr>
            <w:r>
              <w:rPr>
                <w:sz w:val="24"/>
              </w:rPr>
              <w:t>North Yorkshire County Council</w:t>
            </w:r>
          </w:p>
        </w:tc>
      </w:tr>
      <w:tr w:rsidR="00452B51">
        <w:trPr>
          <w:trHeight w:val="414"/>
        </w:trPr>
        <w:tc>
          <w:tcPr>
            <w:tcW w:w="1697" w:type="dxa"/>
          </w:tcPr>
          <w:p w:rsidR="00452B51" w:rsidRDefault="00920726">
            <w:pPr>
              <w:pStyle w:val="TableParagraph"/>
              <w:spacing w:line="240" w:lineRule="auto"/>
              <w:ind w:left="107"/>
              <w:rPr>
                <w:b/>
                <w:sz w:val="24"/>
              </w:rPr>
            </w:pPr>
            <w:r>
              <w:rPr>
                <w:b/>
                <w:sz w:val="24"/>
              </w:rPr>
              <w:t>NYSAB</w:t>
            </w:r>
          </w:p>
        </w:tc>
        <w:tc>
          <w:tcPr>
            <w:tcW w:w="7320" w:type="dxa"/>
          </w:tcPr>
          <w:p w:rsidR="00452B51" w:rsidRDefault="00920726">
            <w:pPr>
              <w:pStyle w:val="TableParagraph"/>
              <w:rPr>
                <w:sz w:val="24"/>
              </w:rPr>
            </w:pPr>
            <w:r>
              <w:rPr>
                <w:sz w:val="24"/>
              </w:rPr>
              <w:t>North Yorkshire Safeguarding Adults Board</w:t>
            </w:r>
          </w:p>
        </w:tc>
      </w:tr>
      <w:tr w:rsidR="00452B51">
        <w:trPr>
          <w:trHeight w:val="413"/>
        </w:trPr>
        <w:tc>
          <w:tcPr>
            <w:tcW w:w="1697" w:type="dxa"/>
          </w:tcPr>
          <w:p w:rsidR="00452B51" w:rsidRDefault="00920726">
            <w:pPr>
              <w:pStyle w:val="TableParagraph"/>
              <w:ind w:left="107"/>
              <w:rPr>
                <w:b/>
                <w:sz w:val="24"/>
              </w:rPr>
            </w:pPr>
            <w:r>
              <w:rPr>
                <w:b/>
                <w:sz w:val="24"/>
              </w:rPr>
              <w:t>SAB</w:t>
            </w:r>
          </w:p>
        </w:tc>
        <w:tc>
          <w:tcPr>
            <w:tcW w:w="7320" w:type="dxa"/>
          </w:tcPr>
          <w:p w:rsidR="00452B51" w:rsidRDefault="00920726">
            <w:pPr>
              <w:pStyle w:val="TableParagraph"/>
              <w:spacing w:line="274" w:lineRule="exact"/>
              <w:rPr>
                <w:sz w:val="24"/>
              </w:rPr>
            </w:pPr>
            <w:r>
              <w:rPr>
                <w:sz w:val="24"/>
              </w:rPr>
              <w:t>Safeguarding Adults Board</w:t>
            </w:r>
          </w:p>
        </w:tc>
      </w:tr>
      <w:tr w:rsidR="00452B51">
        <w:trPr>
          <w:trHeight w:val="413"/>
        </w:trPr>
        <w:tc>
          <w:tcPr>
            <w:tcW w:w="1697" w:type="dxa"/>
          </w:tcPr>
          <w:p w:rsidR="00452B51" w:rsidRDefault="00920726">
            <w:pPr>
              <w:pStyle w:val="TableParagraph"/>
              <w:ind w:left="107"/>
              <w:rPr>
                <w:b/>
                <w:sz w:val="24"/>
              </w:rPr>
            </w:pPr>
            <w:r>
              <w:rPr>
                <w:b/>
                <w:sz w:val="24"/>
              </w:rPr>
              <w:t>SAR</w:t>
            </w:r>
          </w:p>
        </w:tc>
        <w:tc>
          <w:tcPr>
            <w:tcW w:w="7320" w:type="dxa"/>
          </w:tcPr>
          <w:p w:rsidR="00452B51" w:rsidRDefault="00920726">
            <w:pPr>
              <w:pStyle w:val="TableParagraph"/>
              <w:spacing w:line="274" w:lineRule="exact"/>
              <w:rPr>
                <w:sz w:val="24"/>
              </w:rPr>
            </w:pPr>
            <w:r>
              <w:rPr>
                <w:sz w:val="24"/>
              </w:rPr>
              <w:t>Safeguarding Adults Review</w:t>
            </w:r>
          </w:p>
        </w:tc>
      </w:tr>
      <w:tr w:rsidR="00452B51">
        <w:trPr>
          <w:trHeight w:val="414"/>
        </w:trPr>
        <w:tc>
          <w:tcPr>
            <w:tcW w:w="1697" w:type="dxa"/>
          </w:tcPr>
          <w:p w:rsidR="00452B51" w:rsidRDefault="00920726">
            <w:pPr>
              <w:pStyle w:val="TableParagraph"/>
              <w:spacing w:line="240" w:lineRule="auto"/>
              <w:ind w:left="107"/>
              <w:rPr>
                <w:b/>
                <w:sz w:val="24"/>
              </w:rPr>
            </w:pPr>
            <w:r>
              <w:rPr>
                <w:b/>
                <w:sz w:val="24"/>
              </w:rPr>
              <w:t>TEWV</w:t>
            </w:r>
          </w:p>
        </w:tc>
        <w:tc>
          <w:tcPr>
            <w:tcW w:w="7320" w:type="dxa"/>
          </w:tcPr>
          <w:p w:rsidR="00452B51" w:rsidRDefault="00920726">
            <w:pPr>
              <w:pStyle w:val="TableParagraph"/>
              <w:rPr>
                <w:sz w:val="24"/>
              </w:rPr>
            </w:pPr>
            <w:r>
              <w:rPr>
                <w:sz w:val="24"/>
              </w:rPr>
              <w:t>Tees, Esk and Wear Valleys (NHS Foundation Trust)</w:t>
            </w:r>
          </w:p>
        </w:tc>
      </w:tr>
    </w:tbl>
    <w:p w:rsidR="00000000" w:rsidRDefault="00920726"/>
    <w:sectPr w:rsidR="00000000">
      <w:pgSz w:w="11910" w:h="16840"/>
      <w:pgMar w:top="1360" w:right="1320" w:bottom="1240" w:left="1340" w:header="0"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20726">
      <w:r>
        <w:separator/>
      </w:r>
    </w:p>
  </w:endnote>
  <w:endnote w:type="continuationSeparator" w:id="0">
    <w:p w:rsidR="00000000" w:rsidRDefault="0092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726" w:rsidRDefault="00920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B51" w:rsidRDefault="00920726">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292.7pt;margin-top:778.65pt;width:10.1pt;height:14pt;z-index:-251658752;mso-position-horizontal-relative:page;mso-position-vertical-relative:page" filled="f" stroked="f">
          <v:textbox inset="0,0,0,0">
            <w:txbxContent>
              <w:p w:rsidR="00452B51" w:rsidRDefault="00920726">
                <w:pPr>
                  <w:pStyle w:val="BodyText"/>
                  <w:spacing w:line="264" w:lineRule="exact"/>
                  <w:ind w:left="40"/>
                  <w:rPr>
                    <w:rFonts w:ascii="Calibri"/>
                  </w:rPr>
                </w:pPr>
                <w:r>
                  <w:fldChar w:fldCharType="begin"/>
                </w:r>
                <w:r>
                  <w:rPr>
                    <w:rFonts w:ascii="Calibri"/>
                  </w:rPr>
                  <w:instrText xml:space="preserve"> PAGE </w:instrText>
                </w:r>
                <w:r>
                  <w:fldChar w:fldCharType="separate"/>
                </w:r>
                <w:r>
                  <w:rPr>
                    <w:rFonts w:ascii="Calibri"/>
                    <w:noProof/>
                  </w:rP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726" w:rsidRDefault="00920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20726">
      <w:r>
        <w:separator/>
      </w:r>
    </w:p>
  </w:footnote>
  <w:footnote w:type="continuationSeparator" w:id="0">
    <w:p w:rsidR="00000000" w:rsidRDefault="00920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726" w:rsidRDefault="009207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726" w:rsidRDefault="009207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726" w:rsidRDefault="00920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E5B4C"/>
    <w:multiLevelType w:val="multilevel"/>
    <w:tmpl w:val="74F43F10"/>
    <w:lvl w:ilvl="0">
      <w:start w:val="1"/>
      <w:numFmt w:val="decimal"/>
      <w:lvlText w:val="%1."/>
      <w:lvlJc w:val="left"/>
      <w:pPr>
        <w:ind w:left="820" w:hanging="720"/>
        <w:jc w:val="left"/>
      </w:pPr>
      <w:rPr>
        <w:rFonts w:ascii="Arial" w:eastAsia="Arial" w:hAnsi="Arial" w:cs="Arial" w:hint="default"/>
        <w:b/>
        <w:bCs/>
        <w:spacing w:val="-1"/>
        <w:w w:val="100"/>
        <w:sz w:val="24"/>
        <w:szCs w:val="24"/>
        <w:lang w:val="en-GB" w:eastAsia="en-GB" w:bidi="en-GB"/>
      </w:rPr>
    </w:lvl>
    <w:lvl w:ilvl="1">
      <w:start w:val="1"/>
      <w:numFmt w:val="decimal"/>
      <w:lvlText w:val="%1.%2"/>
      <w:lvlJc w:val="left"/>
      <w:pPr>
        <w:ind w:left="820" w:hanging="720"/>
        <w:jc w:val="left"/>
      </w:pPr>
      <w:rPr>
        <w:rFonts w:ascii="Arial" w:eastAsia="Arial" w:hAnsi="Arial" w:cs="Arial" w:hint="default"/>
        <w:w w:val="99"/>
        <w:sz w:val="24"/>
        <w:szCs w:val="24"/>
        <w:lang w:val="en-GB" w:eastAsia="en-GB" w:bidi="en-GB"/>
      </w:rPr>
    </w:lvl>
    <w:lvl w:ilvl="2">
      <w:numFmt w:val="bullet"/>
      <w:lvlText w:val="•"/>
      <w:lvlJc w:val="left"/>
      <w:pPr>
        <w:ind w:left="2505" w:hanging="720"/>
      </w:pPr>
      <w:rPr>
        <w:rFonts w:hint="default"/>
        <w:lang w:val="en-GB" w:eastAsia="en-GB" w:bidi="en-GB"/>
      </w:rPr>
    </w:lvl>
    <w:lvl w:ilvl="3">
      <w:numFmt w:val="bullet"/>
      <w:lvlText w:val="•"/>
      <w:lvlJc w:val="left"/>
      <w:pPr>
        <w:ind w:left="3348" w:hanging="720"/>
      </w:pPr>
      <w:rPr>
        <w:rFonts w:hint="default"/>
        <w:lang w:val="en-GB" w:eastAsia="en-GB" w:bidi="en-GB"/>
      </w:rPr>
    </w:lvl>
    <w:lvl w:ilvl="4">
      <w:numFmt w:val="bullet"/>
      <w:lvlText w:val="•"/>
      <w:lvlJc w:val="left"/>
      <w:pPr>
        <w:ind w:left="4191" w:hanging="720"/>
      </w:pPr>
      <w:rPr>
        <w:rFonts w:hint="default"/>
        <w:lang w:val="en-GB" w:eastAsia="en-GB" w:bidi="en-GB"/>
      </w:rPr>
    </w:lvl>
    <w:lvl w:ilvl="5">
      <w:numFmt w:val="bullet"/>
      <w:lvlText w:val="•"/>
      <w:lvlJc w:val="left"/>
      <w:pPr>
        <w:ind w:left="5033" w:hanging="720"/>
      </w:pPr>
      <w:rPr>
        <w:rFonts w:hint="default"/>
        <w:lang w:val="en-GB" w:eastAsia="en-GB" w:bidi="en-GB"/>
      </w:rPr>
    </w:lvl>
    <w:lvl w:ilvl="6">
      <w:numFmt w:val="bullet"/>
      <w:lvlText w:val="•"/>
      <w:lvlJc w:val="left"/>
      <w:pPr>
        <w:ind w:left="5876" w:hanging="720"/>
      </w:pPr>
      <w:rPr>
        <w:rFonts w:hint="default"/>
        <w:lang w:val="en-GB" w:eastAsia="en-GB" w:bidi="en-GB"/>
      </w:rPr>
    </w:lvl>
    <w:lvl w:ilvl="7">
      <w:numFmt w:val="bullet"/>
      <w:lvlText w:val="•"/>
      <w:lvlJc w:val="left"/>
      <w:pPr>
        <w:ind w:left="6719" w:hanging="720"/>
      </w:pPr>
      <w:rPr>
        <w:rFonts w:hint="default"/>
        <w:lang w:val="en-GB" w:eastAsia="en-GB" w:bidi="en-GB"/>
      </w:rPr>
    </w:lvl>
    <w:lvl w:ilvl="8">
      <w:numFmt w:val="bullet"/>
      <w:lvlText w:val="•"/>
      <w:lvlJc w:val="left"/>
      <w:pPr>
        <w:ind w:left="7562" w:hanging="72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ocumentProtection w:edit="readOnly" w:enforcement="1" w:cryptProviderType="rsaAES" w:cryptAlgorithmClass="hash" w:cryptAlgorithmType="typeAny" w:cryptAlgorithmSid="14" w:cryptSpinCount="100000" w:hash="F9viEvA4IHzyFfyHMRZcMD7KKIvltMtQ4u+rJPlD0Tjfm9cB2J8o9a/6pqDXjRPwEtXogcOxf1unmRibw1972g==" w:salt="bjvf3QIhd0ker579+Q+39Q=="/>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452B51"/>
    <w:rsid w:val="00452B51"/>
    <w:rsid w:val="00920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DB4CE38-E6DD-4680-A144-7834B4DA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61"/>
      <w:ind w:left="100" w:hanging="267"/>
      <w:outlineLvl w:val="0"/>
    </w:pPr>
    <w:rPr>
      <w:b/>
      <w:bCs/>
      <w:sz w:val="32"/>
      <w:szCs w:val="32"/>
    </w:rPr>
  </w:style>
  <w:style w:type="paragraph" w:styleId="Heading2">
    <w:name w:val="heading 2"/>
    <w:basedOn w:val="Normal"/>
    <w:uiPriority w:val="1"/>
    <w:qFormat/>
    <w:pPr>
      <w:ind w:left="8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spacing w:line="275" w:lineRule="exact"/>
      <w:ind w:left="106"/>
    </w:pPr>
  </w:style>
  <w:style w:type="paragraph" w:styleId="BalloonText">
    <w:name w:val="Balloon Text"/>
    <w:basedOn w:val="Normal"/>
    <w:link w:val="BalloonTextChar"/>
    <w:uiPriority w:val="99"/>
    <w:semiHidden/>
    <w:unhideWhenUsed/>
    <w:rsid w:val="009207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726"/>
    <w:rPr>
      <w:rFonts w:ascii="Segoe UI" w:eastAsia="Arial" w:hAnsi="Segoe UI" w:cs="Segoe UI"/>
      <w:sz w:val="18"/>
      <w:szCs w:val="18"/>
      <w:lang w:val="en-GB" w:eastAsia="en-GB" w:bidi="en-GB"/>
    </w:rPr>
  </w:style>
  <w:style w:type="paragraph" w:styleId="Header">
    <w:name w:val="header"/>
    <w:basedOn w:val="Normal"/>
    <w:link w:val="HeaderChar"/>
    <w:uiPriority w:val="99"/>
    <w:unhideWhenUsed/>
    <w:rsid w:val="00920726"/>
    <w:pPr>
      <w:tabs>
        <w:tab w:val="center" w:pos="4513"/>
        <w:tab w:val="right" w:pos="9026"/>
      </w:tabs>
    </w:pPr>
  </w:style>
  <w:style w:type="character" w:customStyle="1" w:styleId="HeaderChar">
    <w:name w:val="Header Char"/>
    <w:basedOn w:val="DefaultParagraphFont"/>
    <w:link w:val="Header"/>
    <w:uiPriority w:val="99"/>
    <w:rsid w:val="00920726"/>
    <w:rPr>
      <w:rFonts w:ascii="Arial" w:eastAsia="Arial" w:hAnsi="Arial" w:cs="Arial"/>
      <w:lang w:val="en-GB" w:eastAsia="en-GB" w:bidi="en-GB"/>
    </w:rPr>
  </w:style>
  <w:style w:type="paragraph" w:styleId="Footer">
    <w:name w:val="footer"/>
    <w:basedOn w:val="Normal"/>
    <w:link w:val="FooterChar"/>
    <w:uiPriority w:val="99"/>
    <w:unhideWhenUsed/>
    <w:rsid w:val="00920726"/>
    <w:pPr>
      <w:tabs>
        <w:tab w:val="center" w:pos="4513"/>
        <w:tab w:val="right" w:pos="9026"/>
      </w:tabs>
    </w:pPr>
  </w:style>
  <w:style w:type="character" w:customStyle="1" w:styleId="FooterChar">
    <w:name w:val="Footer Char"/>
    <w:basedOn w:val="DefaultParagraphFont"/>
    <w:link w:val="Footer"/>
    <w:uiPriority w:val="99"/>
    <w:rsid w:val="00920726"/>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1250</Words>
  <Characters>7129</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cwoll</dc:creator>
  <cp:lastModifiedBy>Laura Watson</cp:lastModifiedBy>
  <cp:revision>2</cp:revision>
  <dcterms:created xsi:type="dcterms:W3CDTF">2021-07-21T20:26:00Z</dcterms:created>
  <dcterms:modified xsi:type="dcterms:W3CDTF">2021-07-21T20:26:00Z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Microsoft® Word 2016</vt:lpwstr>
  </property>
  <property fmtid="{D5CDD505-2E9C-101B-9397-08002B2CF9AE}" pid="4" name="LastSaved">
    <vt:filetime>2021-07-21T00:00:00Z</vt:filetime>
  </property>
  <property fmtid="{D5CDD505-2E9C-101B-9397-08002B2CF9AE}" pid="5" name="MSIP_Label_13f27b87-3675-4fb5-85ad-fce3efd3a6b0_Enabled">
    <vt:lpwstr>true</vt:lpwstr>
  </property>
  <property fmtid="{D5CDD505-2E9C-101B-9397-08002B2CF9AE}" pid="6" name="MSIP_Label_13f27b87-3675-4fb5-85ad-fce3efd3a6b0_SetDate">
    <vt:lpwstr>2021-07-21T20:26:56Z</vt:lpwstr>
  </property>
  <property fmtid="{D5CDD505-2E9C-101B-9397-08002B2CF9AE}" pid="7" name="MSIP_Label_13f27b87-3675-4fb5-85ad-fce3efd3a6b0_Method">
    <vt:lpwstr>Standard</vt:lpwstr>
  </property>
  <property fmtid="{D5CDD505-2E9C-101B-9397-08002B2CF9AE}" pid="8" name="MSIP_Label_13f27b87-3675-4fb5-85ad-fce3efd3a6b0_Name">
    <vt:lpwstr>OFFICIAL - SENSITIVE</vt:lpwstr>
  </property>
  <property fmtid="{D5CDD505-2E9C-101B-9397-08002B2CF9AE}" pid="9" name="MSIP_Label_13f27b87-3675-4fb5-85ad-fce3efd3a6b0_SiteId">
    <vt:lpwstr>ad3d9c73-9830-44a1-b487-e1055441c70e</vt:lpwstr>
  </property>
  <property fmtid="{D5CDD505-2E9C-101B-9397-08002B2CF9AE}" pid="10" name="MSIP_Label_13f27b87-3675-4fb5-85ad-fce3efd3a6b0_ActionId">
    <vt:lpwstr>8f826d4e-760f-4991-8c6b-00008251d4e5</vt:lpwstr>
  </property>
  <property fmtid="{D5CDD505-2E9C-101B-9397-08002B2CF9AE}" pid="11" name="MSIP_Label_13f27b87-3675-4fb5-85ad-fce3efd3a6b0_ContentBits">
    <vt:lpwstr>2</vt:lpwstr>
  </property>
</Properties>
</file>